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4"/>
        <w:gridCol w:w="1699"/>
        <w:gridCol w:w="1417"/>
        <w:gridCol w:w="1842"/>
        <w:gridCol w:w="3064"/>
      </w:tblGrid>
      <w:tr w:rsidR="00B66D57" w14:paraId="1E884E52" w14:textId="77777777">
        <w:tc>
          <w:tcPr>
            <w:tcW w:w="9022" w:type="dxa"/>
            <w:gridSpan w:val="5"/>
          </w:tcPr>
          <w:p w14:paraId="008372E8" w14:textId="77777777" w:rsidR="00B66D57" w:rsidRDefault="00D95DFC">
            <w:pPr>
              <w:spacing w:after="0" w:line="240" w:lineRule="auto"/>
              <w:rPr>
                <w:b/>
                <w:bCs/>
                <w:lang w:val="en-US"/>
              </w:rPr>
            </w:pPr>
            <w:r>
              <w:rPr>
                <w:b/>
                <w:bCs/>
              </w:rPr>
              <w:t xml:space="preserve">Rother Local Plan </w:t>
            </w:r>
            <w:r>
              <w:rPr>
                <w:b/>
                <w:bCs/>
                <w:lang w:val="en-US"/>
              </w:rPr>
              <w:t xml:space="preserve">(Development Strategy) </w:t>
            </w:r>
            <w:r>
              <w:rPr>
                <w:b/>
                <w:bCs/>
              </w:rPr>
              <w:t xml:space="preserve">Reg 18 </w:t>
            </w:r>
            <w:proofErr w:type="gramStart"/>
            <w:r>
              <w:rPr>
                <w:b/>
                <w:bCs/>
                <w:lang w:val="en-US"/>
              </w:rPr>
              <w:t>DRAFT  Jan</w:t>
            </w:r>
            <w:proofErr w:type="gramEnd"/>
            <w:r>
              <w:rPr>
                <w:b/>
                <w:bCs/>
                <w:lang w:val="en-US"/>
              </w:rPr>
              <w:t xml:space="preserve"> 26</w:t>
            </w:r>
          </w:p>
          <w:p w14:paraId="4DDBCF2D" w14:textId="77777777" w:rsidR="00B66D57" w:rsidRDefault="00B66D57">
            <w:pPr>
              <w:spacing w:after="0" w:line="240" w:lineRule="auto"/>
              <w:rPr>
                <w:b/>
                <w:bCs/>
                <w:lang w:val="en-US"/>
              </w:rPr>
            </w:pPr>
          </w:p>
          <w:p w14:paraId="04A7C13A" w14:textId="77777777" w:rsidR="00B66D57" w:rsidRDefault="00D95DFC">
            <w:pPr>
              <w:spacing w:after="0" w:line="240" w:lineRule="auto"/>
              <w:rPr>
                <w:b/>
                <w:bCs/>
                <w:lang w:val="en-US"/>
              </w:rPr>
            </w:pPr>
            <w:r>
              <w:rPr>
                <w:b/>
                <w:bCs/>
                <w:lang w:val="en-US"/>
              </w:rPr>
              <w:t>(It is noted that this draft only forms part of the Draft Rother Plan)</w:t>
            </w:r>
          </w:p>
          <w:p w14:paraId="32AC7EC6" w14:textId="77777777" w:rsidR="00B66D57" w:rsidRDefault="00D95DFC">
            <w:pPr>
              <w:spacing w:after="0" w:line="240" w:lineRule="auto"/>
              <w:rPr>
                <w:b/>
                <w:bCs/>
                <w:lang w:val="en-US"/>
              </w:rPr>
            </w:pPr>
            <w:r>
              <w:rPr>
                <w:b/>
                <w:bCs/>
                <w:lang w:val="en-US"/>
              </w:rPr>
              <w:t xml:space="preserve"> </w:t>
            </w:r>
          </w:p>
        </w:tc>
      </w:tr>
      <w:tr w:rsidR="00B66D57" w14:paraId="085FBDD5" w14:textId="77777777">
        <w:tc>
          <w:tcPr>
            <w:tcW w:w="994" w:type="dxa"/>
          </w:tcPr>
          <w:p w14:paraId="6E3151D7" w14:textId="77777777" w:rsidR="00B66D57" w:rsidRDefault="00D95DFC">
            <w:pPr>
              <w:spacing w:after="0" w:line="240" w:lineRule="auto"/>
              <w:rPr>
                <w:b/>
                <w:bCs/>
              </w:rPr>
            </w:pPr>
            <w:r>
              <w:rPr>
                <w:b/>
                <w:bCs/>
              </w:rPr>
              <w:t>Part</w:t>
            </w:r>
          </w:p>
        </w:tc>
        <w:tc>
          <w:tcPr>
            <w:tcW w:w="1701" w:type="dxa"/>
          </w:tcPr>
          <w:p w14:paraId="751D8BD4" w14:textId="77777777" w:rsidR="00B66D57" w:rsidRDefault="00D95DFC">
            <w:pPr>
              <w:spacing w:after="0" w:line="240" w:lineRule="auto"/>
              <w:rPr>
                <w:b/>
                <w:bCs/>
              </w:rPr>
            </w:pPr>
            <w:r>
              <w:rPr>
                <w:b/>
                <w:bCs/>
              </w:rPr>
              <w:t xml:space="preserve">Page Number </w:t>
            </w:r>
          </w:p>
        </w:tc>
        <w:tc>
          <w:tcPr>
            <w:tcW w:w="1417" w:type="dxa"/>
          </w:tcPr>
          <w:p w14:paraId="098A456C" w14:textId="77777777" w:rsidR="00B66D57" w:rsidRDefault="00D95DFC">
            <w:pPr>
              <w:spacing w:after="0" w:line="240" w:lineRule="auto"/>
              <w:rPr>
                <w:b/>
                <w:bCs/>
              </w:rPr>
            </w:pPr>
            <w:r>
              <w:rPr>
                <w:b/>
                <w:bCs/>
              </w:rPr>
              <w:t xml:space="preserve">Paragraph </w:t>
            </w:r>
          </w:p>
        </w:tc>
        <w:tc>
          <w:tcPr>
            <w:tcW w:w="1843" w:type="dxa"/>
          </w:tcPr>
          <w:p w14:paraId="1895E806" w14:textId="77777777" w:rsidR="00B66D57" w:rsidRDefault="00D95DFC">
            <w:pPr>
              <w:spacing w:after="0" w:line="240" w:lineRule="auto"/>
              <w:rPr>
                <w:b/>
                <w:bCs/>
              </w:rPr>
            </w:pPr>
            <w:r>
              <w:rPr>
                <w:b/>
                <w:bCs/>
              </w:rPr>
              <w:t xml:space="preserve">Subject </w:t>
            </w:r>
          </w:p>
        </w:tc>
        <w:tc>
          <w:tcPr>
            <w:tcW w:w="3067" w:type="dxa"/>
          </w:tcPr>
          <w:p w14:paraId="49F2F2F7" w14:textId="77777777" w:rsidR="00B66D57" w:rsidRDefault="00D95DFC">
            <w:pPr>
              <w:spacing w:after="0" w:line="240" w:lineRule="auto"/>
              <w:rPr>
                <w:b/>
                <w:bCs/>
              </w:rPr>
            </w:pPr>
            <w:r>
              <w:rPr>
                <w:b/>
                <w:bCs/>
                <w:lang w:val="en-US"/>
              </w:rPr>
              <w:t xml:space="preserve">Rye </w:t>
            </w:r>
            <w:r>
              <w:rPr>
                <w:b/>
                <w:bCs/>
              </w:rPr>
              <w:t xml:space="preserve">Remarks </w:t>
            </w:r>
          </w:p>
        </w:tc>
      </w:tr>
      <w:tr w:rsidR="00B66D57" w14:paraId="55A7714B" w14:textId="77777777">
        <w:tc>
          <w:tcPr>
            <w:tcW w:w="994" w:type="dxa"/>
          </w:tcPr>
          <w:p w14:paraId="5C024E86" w14:textId="77777777" w:rsidR="00B66D57" w:rsidRDefault="00D95DFC">
            <w:pPr>
              <w:spacing w:after="0" w:line="240" w:lineRule="auto"/>
              <w:rPr>
                <w:lang w:val="en-US"/>
              </w:rPr>
            </w:pPr>
            <w:r>
              <w:rPr>
                <w:lang w:val="en-US"/>
              </w:rPr>
              <w:t>1</w:t>
            </w:r>
          </w:p>
        </w:tc>
        <w:tc>
          <w:tcPr>
            <w:tcW w:w="1701" w:type="dxa"/>
          </w:tcPr>
          <w:p w14:paraId="5F8B42B8" w14:textId="77777777" w:rsidR="00B66D57" w:rsidRDefault="00D95DFC">
            <w:pPr>
              <w:spacing w:after="0" w:line="240" w:lineRule="auto"/>
              <w:rPr>
                <w:lang w:val="en-US"/>
              </w:rPr>
            </w:pPr>
            <w:r>
              <w:rPr>
                <w:lang w:val="en-US"/>
              </w:rPr>
              <w:t>8</w:t>
            </w:r>
          </w:p>
        </w:tc>
        <w:tc>
          <w:tcPr>
            <w:tcW w:w="1417" w:type="dxa"/>
          </w:tcPr>
          <w:p w14:paraId="7C8B7717" w14:textId="77777777" w:rsidR="00B66D57" w:rsidRDefault="00D95DFC">
            <w:pPr>
              <w:spacing w:after="0" w:line="240" w:lineRule="auto"/>
              <w:rPr>
                <w:lang w:val="en-US"/>
              </w:rPr>
            </w:pPr>
            <w:r>
              <w:rPr>
                <w:lang w:val="en-US"/>
              </w:rPr>
              <w:t>1.1</w:t>
            </w:r>
          </w:p>
        </w:tc>
        <w:tc>
          <w:tcPr>
            <w:tcW w:w="1843" w:type="dxa"/>
          </w:tcPr>
          <w:p w14:paraId="0D649CED" w14:textId="77777777" w:rsidR="00B66D57" w:rsidRDefault="00D95DFC">
            <w:pPr>
              <w:spacing w:after="0" w:line="240" w:lineRule="auto"/>
              <w:rPr>
                <w:lang w:val="en-US"/>
              </w:rPr>
            </w:pPr>
            <w:r>
              <w:rPr>
                <w:lang w:val="en-US"/>
              </w:rPr>
              <w:t xml:space="preserve">Plan </w:t>
            </w:r>
          </w:p>
        </w:tc>
        <w:tc>
          <w:tcPr>
            <w:tcW w:w="3067" w:type="dxa"/>
          </w:tcPr>
          <w:p w14:paraId="67E4F567" w14:textId="77777777" w:rsidR="00B66D57" w:rsidRDefault="00D95DFC">
            <w:pPr>
              <w:spacing w:after="0" w:line="240" w:lineRule="auto"/>
              <w:rPr>
                <w:lang w:val="en-US"/>
              </w:rPr>
            </w:pPr>
            <w:r>
              <w:rPr>
                <w:lang w:val="en-US"/>
              </w:rPr>
              <w:t xml:space="preserve">It is noted that this strategy forms only part of the Rother Local Plan </w:t>
            </w:r>
          </w:p>
        </w:tc>
      </w:tr>
      <w:tr w:rsidR="00B66D57" w14:paraId="1F03F93E" w14:textId="77777777">
        <w:tc>
          <w:tcPr>
            <w:tcW w:w="994" w:type="dxa"/>
          </w:tcPr>
          <w:p w14:paraId="13B23446" w14:textId="77777777" w:rsidR="00B66D57" w:rsidRDefault="00D95DFC">
            <w:pPr>
              <w:spacing w:after="0" w:line="240" w:lineRule="auto"/>
            </w:pPr>
            <w:r>
              <w:t>1</w:t>
            </w:r>
          </w:p>
        </w:tc>
        <w:tc>
          <w:tcPr>
            <w:tcW w:w="1701" w:type="dxa"/>
          </w:tcPr>
          <w:p w14:paraId="368C15BB" w14:textId="77777777" w:rsidR="00B66D57" w:rsidRDefault="00D95DFC">
            <w:pPr>
              <w:spacing w:after="0" w:line="240" w:lineRule="auto"/>
            </w:pPr>
            <w:r>
              <w:t>10</w:t>
            </w:r>
          </w:p>
        </w:tc>
        <w:tc>
          <w:tcPr>
            <w:tcW w:w="1417" w:type="dxa"/>
          </w:tcPr>
          <w:p w14:paraId="372A7888" w14:textId="77777777" w:rsidR="00B66D57" w:rsidRDefault="00D95DFC">
            <w:pPr>
              <w:spacing w:after="0" w:line="240" w:lineRule="auto"/>
            </w:pPr>
            <w:r>
              <w:t>1.11</w:t>
            </w:r>
          </w:p>
        </w:tc>
        <w:tc>
          <w:tcPr>
            <w:tcW w:w="1843" w:type="dxa"/>
          </w:tcPr>
          <w:p w14:paraId="735ECBD3" w14:textId="77777777" w:rsidR="00B66D57" w:rsidRDefault="00D95DFC">
            <w:pPr>
              <w:spacing w:after="0" w:line="240" w:lineRule="auto"/>
            </w:pPr>
            <w:r>
              <w:t xml:space="preserve">Plan Period </w:t>
            </w:r>
          </w:p>
        </w:tc>
        <w:tc>
          <w:tcPr>
            <w:tcW w:w="3067" w:type="dxa"/>
          </w:tcPr>
          <w:p w14:paraId="16BE565D" w14:textId="77777777" w:rsidR="00B66D57" w:rsidRDefault="00D95DFC">
            <w:pPr>
              <w:spacing w:after="0" w:line="240" w:lineRule="auto"/>
            </w:pPr>
            <w:r>
              <w:t>As Rye is reviewing its own NP (2023 to 2026) and is awaiting guidance on target numbers and plan period</w:t>
            </w:r>
            <w:r>
              <w:rPr>
                <w:lang w:val="en-US"/>
              </w:rPr>
              <w:t xml:space="preserve">, </w:t>
            </w:r>
            <w:r>
              <w:t>presumably it can adopt and conform to the figures in the Rother Plan</w:t>
            </w:r>
            <w:r>
              <w:rPr>
                <w:lang w:val="en-US"/>
              </w:rPr>
              <w:t xml:space="preserve"> for its own Reg 16 version</w:t>
            </w:r>
            <w:r>
              <w:t>:  325 over period 2025 to 2042?</w:t>
            </w:r>
          </w:p>
        </w:tc>
      </w:tr>
      <w:tr w:rsidR="00B66D57" w14:paraId="5F623983" w14:textId="77777777">
        <w:tc>
          <w:tcPr>
            <w:tcW w:w="994" w:type="dxa"/>
          </w:tcPr>
          <w:p w14:paraId="767D6FA0" w14:textId="77777777" w:rsidR="00B66D57" w:rsidRDefault="00D95DFC">
            <w:pPr>
              <w:spacing w:after="0" w:line="240" w:lineRule="auto"/>
            </w:pPr>
            <w:r>
              <w:t>1</w:t>
            </w:r>
          </w:p>
        </w:tc>
        <w:tc>
          <w:tcPr>
            <w:tcW w:w="1701" w:type="dxa"/>
          </w:tcPr>
          <w:p w14:paraId="45303E7E" w14:textId="77777777" w:rsidR="00B66D57" w:rsidRDefault="00D95DFC">
            <w:pPr>
              <w:spacing w:after="0" w:line="240" w:lineRule="auto"/>
            </w:pPr>
            <w:r>
              <w:t>12</w:t>
            </w:r>
          </w:p>
        </w:tc>
        <w:tc>
          <w:tcPr>
            <w:tcW w:w="1417" w:type="dxa"/>
          </w:tcPr>
          <w:p w14:paraId="66DA3ADE" w14:textId="77777777" w:rsidR="00B66D57" w:rsidRDefault="00D95DFC">
            <w:pPr>
              <w:spacing w:after="0" w:line="240" w:lineRule="auto"/>
            </w:pPr>
            <w:r>
              <w:t>1.17 to 1.19</w:t>
            </w:r>
          </w:p>
        </w:tc>
        <w:tc>
          <w:tcPr>
            <w:tcW w:w="1843" w:type="dxa"/>
          </w:tcPr>
          <w:p w14:paraId="5D114158" w14:textId="77777777" w:rsidR="00B66D57" w:rsidRDefault="00D95DFC">
            <w:pPr>
              <w:spacing w:after="0" w:line="240" w:lineRule="auto"/>
            </w:pPr>
            <w:r>
              <w:t xml:space="preserve">NP Allocations </w:t>
            </w:r>
          </w:p>
        </w:tc>
        <w:tc>
          <w:tcPr>
            <w:tcW w:w="3067" w:type="dxa"/>
          </w:tcPr>
          <w:p w14:paraId="7A04BFFB" w14:textId="77777777" w:rsidR="00B66D57" w:rsidRDefault="00D95DFC">
            <w:pPr>
              <w:spacing w:after="0" w:line="240" w:lineRule="auto"/>
            </w:pPr>
            <w:r>
              <w:t xml:space="preserve">Rye has made its own site assessment which provided the basis for the made 2019 RNP. This has been reviewed and fed into the Rother site assessment. </w:t>
            </w:r>
            <w:proofErr w:type="gramStart"/>
            <w:r>
              <w:t>Indeed</w:t>
            </w:r>
            <w:proofErr w:type="gramEnd"/>
            <w:r>
              <w:t xml:space="preserve"> the Rother DC plan now replicates the Rye allocation, which is contrary to Locality guidance? </w:t>
            </w:r>
          </w:p>
          <w:p w14:paraId="2345F96B" w14:textId="77777777" w:rsidR="00B66D57" w:rsidRDefault="00B66D57">
            <w:pPr>
              <w:spacing w:after="0" w:line="240" w:lineRule="auto"/>
            </w:pPr>
          </w:p>
          <w:p w14:paraId="4E7E53D0" w14:textId="77777777" w:rsidR="00B66D57" w:rsidRDefault="00B66D57">
            <w:pPr>
              <w:spacing w:after="0" w:line="240" w:lineRule="auto"/>
            </w:pPr>
          </w:p>
        </w:tc>
      </w:tr>
      <w:tr w:rsidR="00B66D57" w14:paraId="1CCB0AEA" w14:textId="77777777">
        <w:tc>
          <w:tcPr>
            <w:tcW w:w="994" w:type="dxa"/>
          </w:tcPr>
          <w:p w14:paraId="56454675" w14:textId="77777777" w:rsidR="00B66D57" w:rsidRDefault="00D95DFC">
            <w:pPr>
              <w:spacing w:after="0" w:line="240" w:lineRule="auto"/>
            </w:pPr>
            <w:r>
              <w:t>1</w:t>
            </w:r>
          </w:p>
        </w:tc>
        <w:tc>
          <w:tcPr>
            <w:tcW w:w="1701" w:type="dxa"/>
          </w:tcPr>
          <w:p w14:paraId="3AACD79D" w14:textId="77777777" w:rsidR="00B66D57" w:rsidRDefault="00D95DFC">
            <w:pPr>
              <w:spacing w:after="0" w:line="240" w:lineRule="auto"/>
            </w:pPr>
            <w:r>
              <w:t>17</w:t>
            </w:r>
          </w:p>
        </w:tc>
        <w:tc>
          <w:tcPr>
            <w:tcW w:w="1417" w:type="dxa"/>
          </w:tcPr>
          <w:p w14:paraId="13D86519" w14:textId="77777777" w:rsidR="00B66D57" w:rsidRDefault="00D95DFC">
            <w:pPr>
              <w:spacing w:after="0" w:line="240" w:lineRule="auto"/>
            </w:pPr>
            <w:r>
              <w:t>Figure 1 - 1 to 11</w:t>
            </w:r>
          </w:p>
        </w:tc>
        <w:tc>
          <w:tcPr>
            <w:tcW w:w="1843" w:type="dxa"/>
          </w:tcPr>
          <w:p w14:paraId="6FAB395C" w14:textId="77777777" w:rsidR="00B66D57" w:rsidRDefault="00D95DFC">
            <w:pPr>
              <w:spacing w:after="0" w:line="240" w:lineRule="auto"/>
            </w:pPr>
            <w:r>
              <w:t xml:space="preserve">Strategic Objectives </w:t>
            </w:r>
          </w:p>
        </w:tc>
        <w:tc>
          <w:tcPr>
            <w:tcW w:w="3067" w:type="dxa"/>
          </w:tcPr>
          <w:p w14:paraId="16C470FD" w14:textId="77777777" w:rsidR="00B66D57" w:rsidRDefault="00D95DFC">
            <w:pPr>
              <w:spacing w:after="0" w:line="240" w:lineRule="auto"/>
              <w:rPr>
                <w:lang w:val="en-US"/>
              </w:rPr>
            </w:pPr>
            <w:r>
              <w:t>Q1:  Rye supports the objectives and underscores the text on</w:t>
            </w:r>
            <w:r>
              <w:rPr>
                <w:lang w:val="en-US"/>
              </w:rPr>
              <w:t>:</w:t>
            </w:r>
          </w:p>
          <w:p w14:paraId="092F696A" w14:textId="77777777" w:rsidR="00B66D57" w:rsidRDefault="00D95DFC">
            <w:pPr>
              <w:numPr>
                <w:ilvl w:val="0"/>
                <w:numId w:val="1"/>
              </w:numPr>
              <w:spacing w:after="0" w:line="240" w:lineRule="auto"/>
            </w:pPr>
            <w:r>
              <w:rPr>
                <w:lang w:val="en-US"/>
              </w:rPr>
              <w:t xml:space="preserve">“Green and Blue infrastructure”:  define? </w:t>
            </w:r>
          </w:p>
          <w:p w14:paraId="7AEBB044" w14:textId="77777777" w:rsidR="00B66D57" w:rsidRDefault="00D95DFC">
            <w:pPr>
              <w:numPr>
                <w:ilvl w:val="0"/>
                <w:numId w:val="1"/>
              </w:numPr>
              <w:spacing w:after="0" w:line="240" w:lineRule="auto"/>
            </w:pPr>
            <w:proofErr w:type="spellStart"/>
            <w:r>
              <w:rPr>
                <w:lang w:val="en-US"/>
              </w:rPr>
              <w:t>Maximise</w:t>
            </w:r>
            <w:proofErr w:type="spellEnd"/>
            <w:r>
              <w:rPr>
                <w:lang w:val="en-US"/>
              </w:rPr>
              <w:t xml:space="preserve"> “conservation”</w:t>
            </w:r>
          </w:p>
          <w:p w14:paraId="3ED619B6" w14:textId="77777777" w:rsidR="00B66D57" w:rsidRDefault="00D95DFC">
            <w:pPr>
              <w:numPr>
                <w:ilvl w:val="0"/>
                <w:numId w:val="1"/>
              </w:numPr>
              <w:spacing w:after="0" w:line="240" w:lineRule="auto"/>
            </w:pPr>
            <w:r>
              <w:t xml:space="preserve">“setting” </w:t>
            </w:r>
          </w:p>
          <w:p w14:paraId="36A54272" w14:textId="77777777" w:rsidR="00B66D57" w:rsidRDefault="00D95DFC">
            <w:pPr>
              <w:numPr>
                <w:ilvl w:val="0"/>
                <w:numId w:val="1"/>
              </w:numPr>
              <w:spacing w:after="0" w:line="240" w:lineRule="auto"/>
            </w:pPr>
            <w:r>
              <w:rPr>
                <w:lang w:val="en-US"/>
              </w:rPr>
              <w:t>ADD “Affordable”?</w:t>
            </w:r>
          </w:p>
          <w:p w14:paraId="7CF2D565" w14:textId="77777777" w:rsidR="00B66D57" w:rsidRDefault="00D95DFC">
            <w:pPr>
              <w:numPr>
                <w:ilvl w:val="0"/>
                <w:numId w:val="1"/>
              </w:numPr>
              <w:spacing w:after="0" w:line="240" w:lineRule="auto"/>
            </w:pPr>
            <w:r>
              <w:rPr>
                <w:lang w:val="en-US"/>
              </w:rPr>
              <w:t xml:space="preserve">Nil </w:t>
            </w:r>
          </w:p>
          <w:p w14:paraId="0AF1768F" w14:textId="77777777" w:rsidR="00B66D57" w:rsidRDefault="00D95DFC">
            <w:pPr>
              <w:numPr>
                <w:ilvl w:val="0"/>
                <w:numId w:val="1"/>
              </w:numPr>
              <w:spacing w:after="0" w:line="240" w:lineRule="auto"/>
            </w:pPr>
            <w:r>
              <w:rPr>
                <w:lang w:val="en-US"/>
              </w:rPr>
              <w:t xml:space="preserve">ADD “support Town </w:t>
            </w:r>
            <w:proofErr w:type="spellStart"/>
            <w:r>
              <w:rPr>
                <w:lang w:val="en-US"/>
              </w:rPr>
              <w:t>Centres</w:t>
            </w:r>
            <w:proofErr w:type="spellEnd"/>
            <w:r>
              <w:rPr>
                <w:lang w:val="en-US"/>
              </w:rPr>
              <w:t xml:space="preserve">” </w:t>
            </w:r>
          </w:p>
          <w:p w14:paraId="6C5E10F5" w14:textId="77777777" w:rsidR="00B66D57" w:rsidRDefault="00D95DFC">
            <w:pPr>
              <w:numPr>
                <w:ilvl w:val="0"/>
                <w:numId w:val="1"/>
              </w:numPr>
              <w:spacing w:after="0" w:line="240" w:lineRule="auto"/>
            </w:pPr>
            <w:r>
              <w:t>“</w:t>
            </w:r>
            <w:proofErr w:type="gramStart"/>
            <w:r>
              <w:t>timely</w:t>
            </w:r>
            <w:proofErr w:type="gramEnd"/>
            <w:r>
              <w:t xml:space="preserve"> delivery of infrastructure including medical and sewerage</w:t>
            </w:r>
            <w:proofErr w:type="gramStart"/>
            <w:r>
              <w:t>”;</w:t>
            </w:r>
            <w:proofErr w:type="gramEnd"/>
            <w:r>
              <w:t xml:space="preserve"> </w:t>
            </w:r>
          </w:p>
          <w:p w14:paraId="6FBD6C01" w14:textId="77777777" w:rsidR="00B66D57" w:rsidRDefault="00D95DFC">
            <w:pPr>
              <w:numPr>
                <w:ilvl w:val="0"/>
                <w:numId w:val="1"/>
              </w:numPr>
              <w:spacing w:after="0" w:line="240" w:lineRule="auto"/>
            </w:pPr>
            <w:r>
              <w:rPr>
                <w:lang w:val="en-US"/>
              </w:rPr>
              <w:t xml:space="preserve">Support </w:t>
            </w:r>
            <w:r>
              <w:t xml:space="preserve">for </w:t>
            </w:r>
            <w:r>
              <w:rPr>
                <w:lang w:val="en-US"/>
              </w:rPr>
              <w:t xml:space="preserve">rural </w:t>
            </w:r>
            <w:r>
              <w:t>travel</w:t>
            </w:r>
            <w:proofErr w:type="gramStart"/>
            <w:r>
              <w:t>”;</w:t>
            </w:r>
            <w:proofErr w:type="gramEnd"/>
            <w:r>
              <w:t xml:space="preserve"> </w:t>
            </w:r>
          </w:p>
          <w:p w14:paraId="50E55CDF" w14:textId="77777777" w:rsidR="00B66D57" w:rsidRDefault="00D95DFC">
            <w:pPr>
              <w:numPr>
                <w:ilvl w:val="0"/>
                <w:numId w:val="1"/>
              </w:numPr>
              <w:spacing w:after="0" w:line="240" w:lineRule="auto"/>
            </w:pPr>
            <w:r>
              <w:rPr>
                <w:lang w:val="en-US"/>
              </w:rPr>
              <w:t>Support “accessibility</w:t>
            </w:r>
            <w:proofErr w:type="gramStart"/>
            <w:r>
              <w:rPr>
                <w:lang w:val="en-US"/>
              </w:rPr>
              <w:t>”;</w:t>
            </w:r>
            <w:proofErr w:type="gramEnd"/>
          </w:p>
          <w:p w14:paraId="0A28B041" w14:textId="77777777" w:rsidR="00B66D57" w:rsidRDefault="00D95DFC">
            <w:pPr>
              <w:numPr>
                <w:ilvl w:val="0"/>
                <w:numId w:val="1"/>
              </w:numPr>
              <w:spacing w:after="0" w:line="240" w:lineRule="auto"/>
            </w:pPr>
            <w:r>
              <w:rPr>
                <w:lang w:val="en-US"/>
              </w:rPr>
              <w:lastRenderedPageBreak/>
              <w:t>Support “</w:t>
            </w:r>
            <w:proofErr w:type="spellStart"/>
            <w:r>
              <w:rPr>
                <w:lang w:val="en-US"/>
              </w:rPr>
              <w:t>Neighbourhood</w:t>
            </w:r>
            <w:proofErr w:type="spellEnd"/>
            <w:r>
              <w:rPr>
                <w:lang w:val="en-US"/>
              </w:rPr>
              <w:t xml:space="preserve"> Planning</w:t>
            </w:r>
            <w:proofErr w:type="gramStart"/>
            <w:r>
              <w:rPr>
                <w:lang w:val="en-US"/>
              </w:rPr>
              <w:t>”;</w:t>
            </w:r>
            <w:proofErr w:type="gramEnd"/>
          </w:p>
          <w:p w14:paraId="55FE6DE7" w14:textId="77777777" w:rsidR="00B66D57" w:rsidRDefault="00D95DFC">
            <w:pPr>
              <w:numPr>
                <w:ilvl w:val="0"/>
                <w:numId w:val="1"/>
              </w:numPr>
              <w:spacing w:after="0" w:line="240" w:lineRule="auto"/>
            </w:pPr>
            <w:r>
              <w:t>“</w:t>
            </w:r>
            <w:proofErr w:type="gramStart"/>
            <w:r>
              <w:t>priority</w:t>
            </w:r>
            <w:proofErr w:type="gramEnd"/>
            <w:r>
              <w:t xml:space="preserve"> use of brownfield</w:t>
            </w:r>
            <w:proofErr w:type="gramStart"/>
            <w:r>
              <w:t>” ;</w:t>
            </w:r>
            <w:proofErr w:type="gramEnd"/>
            <w:r>
              <w:t xml:space="preserve"> “appropriate density for local context” </w:t>
            </w:r>
          </w:p>
        </w:tc>
      </w:tr>
      <w:tr w:rsidR="00B66D57" w14:paraId="3E38BE34" w14:textId="77777777">
        <w:tc>
          <w:tcPr>
            <w:tcW w:w="994" w:type="dxa"/>
          </w:tcPr>
          <w:p w14:paraId="346E7E3D" w14:textId="77777777" w:rsidR="00B66D57" w:rsidRDefault="00D95DFC">
            <w:pPr>
              <w:spacing w:after="0" w:line="240" w:lineRule="auto"/>
            </w:pPr>
            <w:r>
              <w:lastRenderedPageBreak/>
              <w:t>2</w:t>
            </w:r>
          </w:p>
        </w:tc>
        <w:tc>
          <w:tcPr>
            <w:tcW w:w="1701" w:type="dxa"/>
          </w:tcPr>
          <w:p w14:paraId="0DEDABBA" w14:textId="77777777" w:rsidR="00B66D57" w:rsidRDefault="00D95DFC">
            <w:pPr>
              <w:spacing w:after="0" w:line="240" w:lineRule="auto"/>
            </w:pPr>
            <w:r>
              <w:t xml:space="preserve">21 </w:t>
            </w:r>
          </w:p>
        </w:tc>
        <w:tc>
          <w:tcPr>
            <w:tcW w:w="1417" w:type="dxa"/>
          </w:tcPr>
          <w:p w14:paraId="71E1AF92" w14:textId="77777777" w:rsidR="00B66D57" w:rsidRDefault="00D95DFC">
            <w:pPr>
              <w:spacing w:after="0" w:line="240" w:lineRule="auto"/>
            </w:pPr>
            <w:r>
              <w:t>3.6</w:t>
            </w:r>
          </w:p>
          <w:p w14:paraId="7A196C4C" w14:textId="77777777" w:rsidR="00B66D57" w:rsidRDefault="00B66D57">
            <w:pPr>
              <w:spacing w:after="0" w:line="240" w:lineRule="auto"/>
            </w:pPr>
          </w:p>
          <w:p w14:paraId="3C5C8DFB" w14:textId="77777777" w:rsidR="00B66D57" w:rsidRDefault="00B66D57">
            <w:pPr>
              <w:spacing w:after="0" w:line="240" w:lineRule="auto"/>
            </w:pPr>
          </w:p>
          <w:p w14:paraId="45BF9F17" w14:textId="77777777" w:rsidR="00B66D57" w:rsidRDefault="00B66D57">
            <w:pPr>
              <w:spacing w:after="0" w:line="240" w:lineRule="auto"/>
            </w:pPr>
          </w:p>
          <w:p w14:paraId="63470514" w14:textId="77777777" w:rsidR="00B66D57" w:rsidRDefault="00B66D57">
            <w:pPr>
              <w:spacing w:after="0" w:line="240" w:lineRule="auto"/>
            </w:pPr>
          </w:p>
        </w:tc>
        <w:tc>
          <w:tcPr>
            <w:tcW w:w="1843" w:type="dxa"/>
          </w:tcPr>
          <w:p w14:paraId="369AB44C" w14:textId="77777777" w:rsidR="00B66D57" w:rsidRDefault="00D95DFC">
            <w:pPr>
              <w:spacing w:after="0" w:line="240" w:lineRule="auto"/>
            </w:pPr>
            <w:r>
              <w:t>Housing Need</w:t>
            </w:r>
          </w:p>
        </w:tc>
        <w:tc>
          <w:tcPr>
            <w:tcW w:w="3067" w:type="dxa"/>
          </w:tcPr>
          <w:p w14:paraId="68038DE4" w14:textId="77777777" w:rsidR="00B66D57" w:rsidRDefault="00D95DFC">
            <w:pPr>
              <w:spacing w:after="0" w:line="240" w:lineRule="auto"/>
              <w:rPr>
                <w:lang w:val="en-US"/>
              </w:rPr>
            </w:pPr>
            <w:r>
              <w:rPr>
                <w:lang w:val="en-US"/>
              </w:rPr>
              <w:t xml:space="preserve">Support need for “affordable housing and affordable social housing” Little has been achieved in the last 15 years. Homes are needed for people servicing </w:t>
            </w:r>
            <w:proofErr w:type="gramStart"/>
            <w:r>
              <w:rPr>
                <w:lang w:val="en-US"/>
              </w:rPr>
              <w:t>the care</w:t>
            </w:r>
            <w:proofErr w:type="gramEnd"/>
            <w:r>
              <w:rPr>
                <w:lang w:val="en-US"/>
              </w:rPr>
              <w:t xml:space="preserve">, hospitality, retail, and education industries. </w:t>
            </w:r>
          </w:p>
          <w:p w14:paraId="6B674C33" w14:textId="77777777" w:rsidR="00B66D57" w:rsidRDefault="00B66D57">
            <w:pPr>
              <w:spacing w:after="0" w:line="240" w:lineRule="auto"/>
              <w:rPr>
                <w:lang w:val="en-US"/>
              </w:rPr>
            </w:pPr>
          </w:p>
          <w:p w14:paraId="74E341B3" w14:textId="77777777" w:rsidR="00B66D57" w:rsidRDefault="00D95DFC">
            <w:pPr>
              <w:spacing w:after="0" w:line="240" w:lineRule="auto"/>
            </w:pPr>
            <w:r>
              <w:rPr>
                <w:lang w:val="en-US"/>
              </w:rPr>
              <w:t>As the demand for 2</w:t>
            </w:r>
            <w:r>
              <w:rPr>
                <w:vertAlign w:val="superscript"/>
                <w:lang w:val="en-US"/>
              </w:rPr>
              <w:t>nd</w:t>
            </w:r>
            <w:r>
              <w:rPr>
                <w:lang w:val="en-US"/>
              </w:rPr>
              <w:t xml:space="preserve"> homes influences housing </w:t>
            </w:r>
            <w:proofErr w:type="gramStart"/>
            <w:r>
              <w:rPr>
                <w:lang w:val="en-US"/>
              </w:rPr>
              <w:t>need</w:t>
            </w:r>
            <w:proofErr w:type="gramEnd"/>
            <w:r>
              <w:rPr>
                <w:lang w:val="en-US"/>
              </w:rPr>
              <w:t xml:space="preserve">, was </w:t>
            </w:r>
            <w:r>
              <w:t xml:space="preserve">the demand </w:t>
            </w:r>
            <w:r>
              <w:rPr>
                <w:lang w:val="en-US"/>
              </w:rPr>
              <w:t xml:space="preserve">across Rother </w:t>
            </w:r>
            <w:r>
              <w:t xml:space="preserve">factored </w:t>
            </w:r>
            <w:proofErr w:type="gramStart"/>
            <w:r>
              <w:t>into</w:t>
            </w:r>
            <w:proofErr w:type="gramEnd"/>
            <w:r>
              <w:t xml:space="preserve"> HEDNA?  If </w:t>
            </w:r>
            <w:proofErr w:type="gramStart"/>
            <w:r>
              <w:t>so</w:t>
            </w:r>
            <w:proofErr w:type="gramEnd"/>
            <w:r>
              <w:t xml:space="preserve"> what figures were used for Rye?  </w:t>
            </w:r>
          </w:p>
          <w:p w14:paraId="4D5C75EC" w14:textId="77777777" w:rsidR="00B66D57" w:rsidRDefault="00B66D57">
            <w:pPr>
              <w:spacing w:after="0" w:line="240" w:lineRule="auto"/>
            </w:pPr>
          </w:p>
          <w:p w14:paraId="6F24CF59" w14:textId="77777777" w:rsidR="00B66D57" w:rsidRDefault="00B66D57">
            <w:pPr>
              <w:spacing w:after="0" w:line="240" w:lineRule="auto"/>
            </w:pPr>
          </w:p>
          <w:p w14:paraId="723389C2" w14:textId="77777777" w:rsidR="00B66D57" w:rsidRDefault="00B66D57">
            <w:pPr>
              <w:spacing w:after="0" w:line="240" w:lineRule="auto"/>
            </w:pPr>
          </w:p>
        </w:tc>
      </w:tr>
      <w:tr w:rsidR="00B66D57" w14:paraId="2B230D4E" w14:textId="77777777">
        <w:tc>
          <w:tcPr>
            <w:tcW w:w="994" w:type="dxa"/>
          </w:tcPr>
          <w:p w14:paraId="21E5ABEE" w14:textId="77777777" w:rsidR="00B66D57" w:rsidRDefault="00D95DFC">
            <w:pPr>
              <w:spacing w:after="0" w:line="240" w:lineRule="auto"/>
            </w:pPr>
            <w:r>
              <w:t>2</w:t>
            </w:r>
          </w:p>
        </w:tc>
        <w:tc>
          <w:tcPr>
            <w:tcW w:w="1701" w:type="dxa"/>
          </w:tcPr>
          <w:p w14:paraId="0301978A" w14:textId="77777777" w:rsidR="00B66D57" w:rsidRDefault="00D95DFC">
            <w:pPr>
              <w:spacing w:after="0" w:line="240" w:lineRule="auto"/>
            </w:pPr>
            <w:r>
              <w:t>24</w:t>
            </w:r>
          </w:p>
        </w:tc>
        <w:tc>
          <w:tcPr>
            <w:tcW w:w="1417" w:type="dxa"/>
          </w:tcPr>
          <w:p w14:paraId="6F1F46F2" w14:textId="77777777" w:rsidR="00B66D57" w:rsidRDefault="00D95DFC">
            <w:pPr>
              <w:spacing w:after="0" w:line="240" w:lineRule="auto"/>
            </w:pPr>
            <w:r>
              <w:t>3.16</w:t>
            </w:r>
          </w:p>
        </w:tc>
        <w:tc>
          <w:tcPr>
            <w:tcW w:w="1843" w:type="dxa"/>
          </w:tcPr>
          <w:p w14:paraId="1DF1AC80" w14:textId="77777777" w:rsidR="00B66D57" w:rsidRDefault="00D95DFC">
            <w:pPr>
              <w:spacing w:after="0" w:line="240" w:lineRule="auto"/>
            </w:pPr>
            <w:r>
              <w:t xml:space="preserve">Allocations </w:t>
            </w:r>
          </w:p>
        </w:tc>
        <w:tc>
          <w:tcPr>
            <w:tcW w:w="3067" w:type="dxa"/>
          </w:tcPr>
          <w:p w14:paraId="5B737B59" w14:textId="77777777" w:rsidR="00B66D57" w:rsidRDefault="00D95DFC">
            <w:pPr>
              <w:spacing w:after="0" w:line="240" w:lineRule="auto"/>
            </w:pPr>
            <w:r>
              <w:t xml:space="preserve">Allocations in the Rye NOP have been reviewed and numbers adjusted to take account of density and achievability. </w:t>
            </w:r>
          </w:p>
          <w:p w14:paraId="784FDECB" w14:textId="77777777" w:rsidR="00B66D57" w:rsidRDefault="00B66D57">
            <w:pPr>
              <w:spacing w:after="0" w:line="240" w:lineRule="auto"/>
            </w:pPr>
          </w:p>
        </w:tc>
      </w:tr>
      <w:tr w:rsidR="00B66D57" w14:paraId="50B8C0A6" w14:textId="77777777">
        <w:tc>
          <w:tcPr>
            <w:tcW w:w="994" w:type="dxa"/>
          </w:tcPr>
          <w:p w14:paraId="7AC2310A" w14:textId="77777777" w:rsidR="00B66D57" w:rsidRDefault="00D95DFC">
            <w:pPr>
              <w:spacing w:after="0" w:line="240" w:lineRule="auto"/>
            </w:pPr>
            <w:r>
              <w:t>2</w:t>
            </w:r>
          </w:p>
        </w:tc>
        <w:tc>
          <w:tcPr>
            <w:tcW w:w="1701" w:type="dxa"/>
          </w:tcPr>
          <w:p w14:paraId="06E04652" w14:textId="77777777" w:rsidR="00B66D57" w:rsidRDefault="00D95DFC">
            <w:pPr>
              <w:spacing w:after="0" w:line="240" w:lineRule="auto"/>
            </w:pPr>
            <w:r>
              <w:t>27</w:t>
            </w:r>
          </w:p>
        </w:tc>
        <w:tc>
          <w:tcPr>
            <w:tcW w:w="1417" w:type="dxa"/>
          </w:tcPr>
          <w:p w14:paraId="64F66AAA" w14:textId="77777777" w:rsidR="00B66D57" w:rsidRDefault="00D95DFC">
            <w:pPr>
              <w:spacing w:after="0" w:line="240" w:lineRule="auto"/>
            </w:pPr>
            <w:r>
              <w:t>3.24</w:t>
            </w:r>
          </w:p>
        </w:tc>
        <w:tc>
          <w:tcPr>
            <w:tcW w:w="1843" w:type="dxa"/>
          </w:tcPr>
          <w:p w14:paraId="5C66E268" w14:textId="77777777" w:rsidR="00B66D57" w:rsidRDefault="00D95DFC">
            <w:pPr>
              <w:spacing w:after="0" w:line="240" w:lineRule="auto"/>
            </w:pPr>
            <w:r>
              <w:t xml:space="preserve">Supply Targets  </w:t>
            </w:r>
          </w:p>
        </w:tc>
        <w:tc>
          <w:tcPr>
            <w:tcW w:w="3067" w:type="dxa"/>
          </w:tcPr>
          <w:p w14:paraId="7208AA23" w14:textId="77777777" w:rsidR="00B66D57" w:rsidRDefault="00D95DFC">
            <w:pPr>
              <w:spacing w:after="0" w:line="240" w:lineRule="auto"/>
            </w:pPr>
            <w:r>
              <w:t xml:space="preserve">Q2:  It is difficult to comment on </w:t>
            </w:r>
          </w:p>
          <w:p w14:paraId="5173F24E" w14:textId="77777777" w:rsidR="00B66D57" w:rsidRDefault="00D95DFC">
            <w:pPr>
              <w:spacing w:after="0" w:line="240" w:lineRule="auto"/>
              <w:rPr>
                <w:lang w:val="en-US"/>
              </w:rPr>
            </w:pPr>
            <w:r>
              <w:t xml:space="preserve">The Rother total target but the disaggregated figure for Rye is achievable, despite the severe constraints in Rye such as flood risk and protected landscape. </w:t>
            </w:r>
            <w:r>
              <w:rPr>
                <w:lang w:val="en-US"/>
              </w:rPr>
              <w:t xml:space="preserve">Because of the constraints, development potential is finite. </w:t>
            </w:r>
          </w:p>
          <w:p w14:paraId="68238242" w14:textId="77777777" w:rsidR="00B66D57" w:rsidRDefault="00B66D57">
            <w:pPr>
              <w:spacing w:after="0" w:line="240" w:lineRule="auto"/>
            </w:pPr>
          </w:p>
          <w:p w14:paraId="35491BB5" w14:textId="77777777" w:rsidR="00B66D57" w:rsidRDefault="00B66D57">
            <w:pPr>
              <w:spacing w:after="0" w:line="240" w:lineRule="auto"/>
            </w:pPr>
          </w:p>
        </w:tc>
      </w:tr>
      <w:tr w:rsidR="00B66D57" w14:paraId="0E81F007" w14:textId="77777777">
        <w:tc>
          <w:tcPr>
            <w:tcW w:w="994" w:type="dxa"/>
          </w:tcPr>
          <w:p w14:paraId="5AC38E99" w14:textId="77777777" w:rsidR="00B66D57" w:rsidRDefault="00D95DFC">
            <w:pPr>
              <w:spacing w:after="0" w:line="240" w:lineRule="auto"/>
            </w:pPr>
            <w:r>
              <w:t>2</w:t>
            </w:r>
          </w:p>
        </w:tc>
        <w:tc>
          <w:tcPr>
            <w:tcW w:w="1701" w:type="dxa"/>
          </w:tcPr>
          <w:p w14:paraId="1B426BCF" w14:textId="77777777" w:rsidR="00B66D57" w:rsidRDefault="00D95DFC">
            <w:pPr>
              <w:spacing w:after="0" w:line="240" w:lineRule="auto"/>
            </w:pPr>
            <w:r>
              <w:t xml:space="preserve">32 </w:t>
            </w:r>
          </w:p>
        </w:tc>
        <w:tc>
          <w:tcPr>
            <w:tcW w:w="1417" w:type="dxa"/>
          </w:tcPr>
          <w:p w14:paraId="5E2EB113" w14:textId="77777777" w:rsidR="00B66D57" w:rsidRDefault="00D95DFC">
            <w:pPr>
              <w:spacing w:after="0" w:line="240" w:lineRule="auto"/>
            </w:pPr>
            <w:r>
              <w:t>3.31 – 3.34</w:t>
            </w:r>
          </w:p>
        </w:tc>
        <w:tc>
          <w:tcPr>
            <w:tcW w:w="1843" w:type="dxa"/>
          </w:tcPr>
          <w:p w14:paraId="404C0DAE" w14:textId="77777777" w:rsidR="00B66D57" w:rsidRDefault="00D95DFC">
            <w:pPr>
              <w:spacing w:after="0" w:line="240" w:lineRule="auto"/>
            </w:pPr>
            <w:r>
              <w:t>Retail</w:t>
            </w:r>
          </w:p>
        </w:tc>
        <w:tc>
          <w:tcPr>
            <w:tcW w:w="3067" w:type="dxa"/>
          </w:tcPr>
          <w:p w14:paraId="40B595A4" w14:textId="77777777" w:rsidR="00B66D57" w:rsidRDefault="00D95DFC">
            <w:pPr>
              <w:spacing w:after="0" w:line="240" w:lineRule="auto"/>
            </w:pPr>
            <w:r>
              <w:t xml:space="preserve">Q3:  As a rural service centre, Rye centre provides needs for both Rye and the surrounding villages. </w:t>
            </w:r>
            <w:r>
              <w:lastRenderedPageBreak/>
              <w:t xml:space="preserve">Numbers used to indicate dependency should reflect that. </w:t>
            </w:r>
          </w:p>
          <w:p w14:paraId="113A8EB8" w14:textId="77777777" w:rsidR="00B66D57" w:rsidRDefault="00B66D57">
            <w:pPr>
              <w:spacing w:after="0" w:line="240" w:lineRule="auto"/>
            </w:pPr>
          </w:p>
        </w:tc>
      </w:tr>
      <w:tr w:rsidR="00B66D57" w14:paraId="5A6F94E0" w14:textId="77777777">
        <w:tc>
          <w:tcPr>
            <w:tcW w:w="994" w:type="dxa"/>
          </w:tcPr>
          <w:p w14:paraId="29E20573" w14:textId="77777777" w:rsidR="00B66D57" w:rsidRDefault="00D95DFC">
            <w:pPr>
              <w:spacing w:after="0" w:line="240" w:lineRule="auto"/>
            </w:pPr>
            <w:r>
              <w:lastRenderedPageBreak/>
              <w:t>2</w:t>
            </w:r>
          </w:p>
        </w:tc>
        <w:tc>
          <w:tcPr>
            <w:tcW w:w="1701" w:type="dxa"/>
          </w:tcPr>
          <w:p w14:paraId="5EF7DC80" w14:textId="77777777" w:rsidR="00B66D57" w:rsidRDefault="00D95DFC">
            <w:pPr>
              <w:spacing w:after="0" w:line="240" w:lineRule="auto"/>
            </w:pPr>
            <w:r>
              <w:t>35</w:t>
            </w:r>
          </w:p>
        </w:tc>
        <w:tc>
          <w:tcPr>
            <w:tcW w:w="1417" w:type="dxa"/>
          </w:tcPr>
          <w:p w14:paraId="65D2FE87" w14:textId="77777777" w:rsidR="00B66D57" w:rsidRDefault="00D95DFC">
            <w:pPr>
              <w:spacing w:after="0" w:line="240" w:lineRule="auto"/>
            </w:pPr>
            <w:r>
              <w:t>3.45</w:t>
            </w:r>
          </w:p>
        </w:tc>
        <w:tc>
          <w:tcPr>
            <w:tcW w:w="1843" w:type="dxa"/>
          </w:tcPr>
          <w:p w14:paraId="6A7B6DB0" w14:textId="77777777" w:rsidR="00B66D57" w:rsidRDefault="00D95DFC">
            <w:pPr>
              <w:spacing w:after="0" w:line="240" w:lineRule="auto"/>
            </w:pPr>
            <w:r>
              <w:t>Housing Needs</w:t>
            </w:r>
          </w:p>
        </w:tc>
        <w:tc>
          <w:tcPr>
            <w:tcW w:w="3067" w:type="dxa"/>
          </w:tcPr>
          <w:p w14:paraId="1C2BE151" w14:textId="77777777" w:rsidR="00B66D57" w:rsidRDefault="00D95DFC">
            <w:pPr>
              <w:spacing w:after="0" w:line="240" w:lineRule="auto"/>
            </w:pPr>
            <w:r>
              <w:t>Did the housing need consider the impact of 2</w:t>
            </w:r>
            <w:r>
              <w:rPr>
                <w:vertAlign w:val="superscript"/>
              </w:rPr>
              <w:t>nd</w:t>
            </w:r>
            <w:r>
              <w:t xml:space="preserve"> homes? In Rye the numb</w:t>
            </w:r>
            <w:r>
              <w:rPr>
                <w:lang w:val="en-US"/>
              </w:rPr>
              <w:t>er</w:t>
            </w:r>
            <w:r>
              <w:t xml:space="preserve"> could be as high as 400? </w:t>
            </w:r>
          </w:p>
        </w:tc>
      </w:tr>
      <w:tr w:rsidR="00B66D57" w14:paraId="2F5F6F6A" w14:textId="77777777">
        <w:tc>
          <w:tcPr>
            <w:tcW w:w="994" w:type="dxa"/>
          </w:tcPr>
          <w:p w14:paraId="05AF34EA" w14:textId="77777777" w:rsidR="00B66D57" w:rsidRDefault="00D95DFC">
            <w:pPr>
              <w:spacing w:after="0" w:line="240" w:lineRule="auto"/>
            </w:pPr>
            <w:r>
              <w:t>2</w:t>
            </w:r>
          </w:p>
        </w:tc>
        <w:tc>
          <w:tcPr>
            <w:tcW w:w="1701" w:type="dxa"/>
          </w:tcPr>
          <w:p w14:paraId="2D8D98D3" w14:textId="77777777" w:rsidR="00B66D57" w:rsidRDefault="00D95DFC">
            <w:pPr>
              <w:spacing w:after="0" w:line="240" w:lineRule="auto"/>
            </w:pPr>
            <w:r>
              <w:t xml:space="preserve">37 </w:t>
            </w:r>
          </w:p>
        </w:tc>
        <w:tc>
          <w:tcPr>
            <w:tcW w:w="1417" w:type="dxa"/>
          </w:tcPr>
          <w:p w14:paraId="2C2CA9C0" w14:textId="77777777" w:rsidR="00B66D57" w:rsidRDefault="00D95DFC">
            <w:pPr>
              <w:spacing w:after="0" w:line="240" w:lineRule="auto"/>
            </w:pPr>
            <w:r>
              <w:t xml:space="preserve">4.1 </w:t>
            </w:r>
          </w:p>
        </w:tc>
        <w:tc>
          <w:tcPr>
            <w:tcW w:w="1843" w:type="dxa"/>
          </w:tcPr>
          <w:p w14:paraId="4878EF16" w14:textId="77777777" w:rsidR="00B66D57" w:rsidRDefault="00D95DFC">
            <w:pPr>
              <w:spacing w:after="0" w:line="240" w:lineRule="auto"/>
            </w:pPr>
            <w:r>
              <w:t xml:space="preserve">Infrastructure </w:t>
            </w:r>
          </w:p>
        </w:tc>
        <w:tc>
          <w:tcPr>
            <w:tcW w:w="3067" w:type="dxa"/>
          </w:tcPr>
          <w:p w14:paraId="6278EBA4" w14:textId="77777777" w:rsidR="00B66D57" w:rsidRDefault="00D95DFC">
            <w:pPr>
              <w:spacing w:after="0" w:line="240" w:lineRule="auto"/>
            </w:pPr>
            <w:r>
              <w:t xml:space="preserve">Q5:  </w:t>
            </w:r>
          </w:p>
          <w:p w14:paraId="53F4EBD0" w14:textId="77777777" w:rsidR="00B66D57" w:rsidRDefault="00D95DFC">
            <w:pPr>
              <w:spacing w:after="0" w:line="240" w:lineRule="auto"/>
            </w:pPr>
            <w:r>
              <w:t xml:space="preserve">Rye supports the need for infrastructure to match development. Over the plan period the Rye population could rise by </w:t>
            </w:r>
            <w:r>
              <w:rPr>
                <w:lang w:val="en-US"/>
              </w:rPr>
              <w:t xml:space="preserve">up to </w:t>
            </w:r>
            <w:r>
              <w:t>2000 citizens</w:t>
            </w:r>
            <w:r>
              <w:rPr>
                <w:lang w:val="en-US"/>
              </w:rPr>
              <w:t xml:space="preserve"> (Rye and immediate village cluster) and more employees in the Harbour Road.  </w:t>
            </w:r>
            <w:r>
              <w:t xml:space="preserve">This will place huge increased demand on water, medical, early years learning and sewerage. The record shows that providers have not matched the increased demand of recent developments.   </w:t>
            </w:r>
          </w:p>
          <w:p w14:paraId="7607605A" w14:textId="77777777" w:rsidR="00B66D57" w:rsidRDefault="00B66D57">
            <w:pPr>
              <w:spacing w:after="0" w:line="240" w:lineRule="auto"/>
            </w:pPr>
          </w:p>
          <w:p w14:paraId="14085C14" w14:textId="77777777" w:rsidR="00B66D57" w:rsidRDefault="00B66D57">
            <w:pPr>
              <w:spacing w:after="0" w:line="240" w:lineRule="auto"/>
            </w:pPr>
          </w:p>
          <w:p w14:paraId="1FC116A7" w14:textId="77777777" w:rsidR="00B66D57" w:rsidRDefault="00D95DFC">
            <w:pPr>
              <w:spacing w:after="0" w:line="240" w:lineRule="auto"/>
            </w:pPr>
            <w:r>
              <w:t xml:space="preserve">Rye maintains its own IDP, which should be reflected in the Rother IDP. </w:t>
            </w:r>
          </w:p>
          <w:p w14:paraId="4D8EBEA9" w14:textId="77777777" w:rsidR="00B66D57" w:rsidRDefault="00B66D57">
            <w:pPr>
              <w:spacing w:after="0" w:line="240" w:lineRule="auto"/>
            </w:pPr>
          </w:p>
          <w:p w14:paraId="783549DC" w14:textId="77777777" w:rsidR="00B66D57" w:rsidRDefault="00D95DFC">
            <w:pPr>
              <w:spacing w:after="0" w:line="240" w:lineRule="auto"/>
            </w:pPr>
            <w:r>
              <w:t xml:space="preserve">  </w:t>
            </w:r>
          </w:p>
        </w:tc>
      </w:tr>
      <w:tr w:rsidR="00B66D57" w14:paraId="18442094" w14:textId="77777777">
        <w:tc>
          <w:tcPr>
            <w:tcW w:w="994" w:type="dxa"/>
          </w:tcPr>
          <w:p w14:paraId="7B41FDF6" w14:textId="77777777" w:rsidR="00B66D57" w:rsidRDefault="00D95DFC">
            <w:pPr>
              <w:spacing w:after="0" w:line="240" w:lineRule="auto"/>
            </w:pPr>
            <w:r>
              <w:t>3</w:t>
            </w:r>
          </w:p>
        </w:tc>
        <w:tc>
          <w:tcPr>
            <w:tcW w:w="1701" w:type="dxa"/>
          </w:tcPr>
          <w:p w14:paraId="2DB8B902" w14:textId="77777777" w:rsidR="00B66D57" w:rsidRDefault="00D95DFC">
            <w:pPr>
              <w:spacing w:after="0" w:line="240" w:lineRule="auto"/>
            </w:pPr>
            <w:r>
              <w:t xml:space="preserve">45 </w:t>
            </w:r>
          </w:p>
        </w:tc>
        <w:tc>
          <w:tcPr>
            <w:tcW w:w="1417" w:type="dxa"/>
          </w:tcPr>
          <w:p w14:paraId="229E5845" w14:textId="77777777" w:rsidR="00B66D57" w:rsidRDefault="00D95DFC">
            <w:pPr>
              <w:spacing w:after="0" w:line="240" w:lineRule="auto"/>
            </w:pPr>
            <w:r>
              <w:t>5.12 – 5.13</w:t>
            </w:r>
          </w:p>
        </w:tc>
        <w:tc>
          <w:tcPr>
            <w:tcW w:w="1843" w:type="dxa"/>
          </w:tcPr>
          <w:p w14:paraId="2FAD210A" w14:textId="77777777" w:rsidR="00B66D57" w:rsidRDefault="00D95DFC">
            <w:pPr>
              <w:spacing w:after="0" w:line="240" w:lineRule="auto"/>
            </w:pPr>
            <w:r>
              <w:t xml:space="preserve">Strategic Gaps </w:t>
            </w:r>
          </w:p>
        </w:tc>
        <w:tc>
          <w:tcPr>
            <w:tcW w:w="3067" w:type="dxa"/>
          </w:tcPr>
          <w:p w14:paraId="1FD94B89" w14:textId="77777777" w:rsidR="00B66D57" w:rsidRDefault="00D95DFC">
            <w:pPr>
              <w:spacing w:after="0" w:line="240" w:lineRule="auto"/>
            </w:pPr>
            <w:r>
              <w:t xml:space="preserve">Rye strongly </w:t>
            </w:r>
            <w:r>
              <w:rPr>
                <w:lang w:val="en-US"/>
              </w:rPr>
              <w:t xml:space="preserve">desires </w:t>
            </w:r>
            <w:r>
              <w:t>to retain its Strategic Gap</w:t>
            </w:r>
            <w:r>
              <w:rPr>
                <w:lang w:val="en-US"/>
              </w:rPr>
              <w:t xml:space="preserve"> - flooded to 12 inches in the near past - </w:t>
            </w:r>
            <w:r>
              <w:t>which was designed to prevent the coalescence of Rye and Rye Harbour using essentially protected land originally salt marsh of high flood risk</w:t>
            </w:r>
            <w:r>
              <w:rPr>
                <w:lang w:val="en-US"/>
              </w:rPr>
              <w:t xml:space="preserve"> and high ground water</w:t>
            </w:r>
            <w:r>
              <w:t>.</w:t>
            </w:r>
            <w:r>
              <w:rPr>
                <w:lang w:val="en-US"/>
              </w:rPr>
              <w:t xml:space="preserve">  This has been acknowledged in all plans for the last 20 years.</w:t>
            </w:r>
            <w:r>
              <w:t xml:space="preserve"> </w:t>
            </w:r>
          </w:p>
          <w:p w14:paraId="6E338482" w14:textId="77777777" w:rsidR="00B66D57" w:rsidRDefault="00B66D57">
            <w:pPr>
              <w:spacing w:after="0" w:line="240" w:lineRule="auto"/>
            </w:pPr>
          </w:p>
          <w:p w14:paraId="496F62D7" w14:textId="77777777" w:rsidR="00B66D57" w:rsidRDefault="00D95DFC">
            <w:pPr>
              <w:spacing w:after="0" w:line="240" w:lineRule="auto"/>
            </w:pPr>
            <w:r>
              <w:lastRenderedPageBreak/>
              <w:t xml:space="preserve">The </w:t>
            </w:r>
            <w:r>
              <w:rPr>
                <w:lang w:val="en-US"/>
              </w:rPr>
              <w:t xml:space="preserve">“green” </w:t>
            </w:r>
            <w:r>
              <w:t xml:space="preserve">gap adds value to the </w:t>
            </w:r>
            <w:proofErr w:type="gramStart"/>
            <w:r>
              <w:t>much loved</w:t>
            </w:r>
            <w:proofErr w:type="gramEnd"/>
            <w:r>
              <w:t xml:space="preserve"> character of Rye </w:t>
            </w:r>
            <w:r>
              <w:rPr>
                <w:lang w:val="en-US"/>
              </w:rPr>
              <w:t xml:space="preserve">as it preserves the view of the town built on an </w:t>
            </w:r>
            <w:r>
              <w:t xml:space="preserve">outcrop rising from the Marsh.  </w:t>
            </w:r>
          </w:p>
          <w:p w14:paraId="512FB66F" w14:textId="77777777" w:rsidR="00B66D57" w:rsidRDefault="00B66D57">
            <w:pPr>
              <w:spacing w:after="0" w:line="240" w:lineRule="auto"/>
            </w:pPr>
          </w:p>
          <w:p w14:paraId="2E76A27B" w14:textId="77777777" w:rsidR="00B66D57" w:rsidRDefault="00B66D57">
            <w:pPr>
              <w:spacing w:after="0" w:line="240" w:lineRule="auto"/>
            </w:pPr>
          </w:p>
        </w:tc>
      </w:tr>
      <w:tr w:rsidR="00B66D57" w14:paraId="72788FA8" w14:textId="77777777">
        <w:tc>
          <w:tcPr>
            <w:tcW w:w="994" w:type="dxa"/>
          </w:tcPr>
          <w:p w14:paraId="08A283B8" w14:textId="77777777" w:rsidR="00B66D57" w:rsidRDefault="00D95DFC">
            <w:pPr>
              <w:spacing w:after="0" w:line="240" w:lineRule="auto"/>
            </w:pPr>
            <w:r>
              <w:lastRenderedPageBreak/>
              <w:t>3</w:t>
            </w:r>
          </w:p>
        </w:tc>
        <w:tc>
          <w:tcPr>
            <w:tcW w:w="1701" w:type="dxa"/>
          </w:tcPr>
          <w:p w14:paraId="5DA3D4ED" w14:textId="77777777" w:rsidR="00B66D57" w:rsidRDefault="00D95DFC">
            <w:pPr>
              <w:spacing w:after="0" w:line="240" w:lineRule="auto"/>
            </w:pPr>
            <w:r>
              <w:t>46</w:t>
            </w:r>
          </w:p>
        </w:tc>
        <w:tc>
          <w:tcPr>
            <w:tcW w:w="1417" w:type="dxa"/>
          </w:tcPr>
          <w:p w14:paraId="712C72F1" w14:textId="77777777" w:rsidR="00B66D57" w:rsidRDefault="00D95DFC">
            <w:pPr>
              <w:spacing w:after="0" w:line="240" w:lineRule="auto"/>
            </w:pPr>
            <w:r>
              <w:t xml:space="preserve">5.14 </w:t>
            </w:r>
          </w:p>
        </w:tc>
        <w:tc>
          <w:tcPr>
            <w:tcW w:w="1843" w:type="dxa"/>
          </w:tcPr>
          <w:p w14:paraId="51428880" w14:textId="77777777" w:rsidR="00B66D57" w:rsidRDefault="00D95DFC">
            <w:pPr>
              <w:spacing w:after="0" w:line="240" w:lineRule="auto"/>
            </w:pPr>
            <w:r>
              <w:t xml:space="preserve">Development Boundary </w:t>
            </w:r>
          </w:p>
        </w:tc>
        <w:tc>
          <w:tcPr>
            <w:tcW w:w="3067" w:type="dxa"/>
          </w:tcPr>
          <w:p w14:paraId="007B8792" w14:textId="77777777" w:rsidR="00B66D57" w:rsidRDefault="00D95DFC">
            <w:pPr>
              <w:spacing w:after="0" w:line="240" w:lineRule="auto"/>
            </w:pPr>
            <w:r>
              <w:t xml:space="preserve">Rye has </w:t>
            </w:r>
            <w:r>
              <w:rPr>
                <w:lang w:val="en-US"/>
              </w:rPr>
              <w:t xml:space="preserve">reviewed and made minor changes to </w:t>
            </w:r>
            <w:r>
              <w:t xml:space="preserve">its development boundary as part of the work of the RNP. </w:t>
            </w:r>
          </w:p>
          <w:p w14:paraId="1E0CA330" w14:textId="77777777" w:rsidR="00B66D57" w:rsidRDefault="00D95DFC">
            <w:pPr>
              <w:spacing w:after="0" w:line="240" w:lineRule="auto"/>
              <w:rPr>
                <w:lang w:val="en-US"/>
              </w:rPr>
            </w:pPr>
            <w:r>
              <w:rPr>
                <w:lang w:val="en-US"/>
              </w:rPr>
              <w:t xml:space="preserve">The boundary </w:t>
            </w:r>
            <w:r>
              <w:t>is designed to prevent “urban creep” into marshland and areas of high flood risk</w:t>
            </w:r>
            <w:r>
              <w:rPr>
                <w:lang w:val="en-US"/>
              </w:rPr>
              <w:t xml:space="preserve"> and protected biodiversity</w:t>
            </w:r>
            <w:r>
              <w:t xml:space="preserve">. Certainly </w:t>
            </w:r>
            <w:r>
              <w:rPr>
                <w:lang w:val="en-US"/>
              </w:rPr>
              <w:t xml:space="preserve">some </w:t>
            </w:r>
            <w:proofErr w:type="gramStart"/>
            <w:r>
              <w:t>land owners</w:t>
            </w:r>
            <w:proofErr w:type="gramEnd"/>
            <w:r>
              <w:t xml:space="preserve"> and developers would wish to seek</w:t>
            </w:r>
            <w:r>
              <w:rPr>
                <w:lang w:val="en-US"/>
              </w:rPr>
              <w:t xml:space="preserve"> further</w:t>
            </w:r>
            <w:r>
              <w:t xml:space="preserve"> adjustment </w:t>
            </w:r>
            <w:r>
              <w:rPr>
                <w:lang w:val="en-US"/>
              </w:rPr>
              <w:t xml:space="preserve">to enable development in the constrained </w:t>
            </w:r>
            <w:proofErr w:type="gramStart"/>
            <w:r>
              <w:rPr>
                <w:lang w:val="en-US"/>
              </w:rPr>
              <w:t>areas ,</w:t>
            </w:r>
            <w:proofErr w:type="gramEnd"/>
            <w:r>
              <w:rPr>
                <w:lang w:val="en-US"/>
              </w:rPr>
              <w:t xml:space="preserve"> </w:t>
            </w:r>
            <w:r>
              <w:t xml:space="preserve">but Rye opposes </w:t>
            </w:r>
            <w:r>
              <w:rPr>
                <w:lang w:val="en-US"/>
              </w:rPr>
              <w:t xml:space="preserve">this. </w:t>
            </w:r>
          </w:p>
          <w:p w14:paraId="65DD364A" w14:textId="77777777" w:rsidR="00B66D57" w:rsidRDefault="00D95DFC">
            <w:pPr>
              <w:spacing w:after="0" w:line="240" w:lineRule="auto"/>
            </w:pPr>
            <w:r>
              <w:t xml:space="preserve"> </w:t>
            </w:r>
          </w:p>
        </w:tc>
      </w:tr>
      <w:tr w:rsidR="00B66D57" w14:paraId="749B00C8" w14:textId="77777777">
        <w:tc>
          <w:tcPr>
            <w:tcW w:w="994" w:type="dxa"/>
          </w:tcPr>
          <w:p w14:paraId="162C0F3A" w14:textId="77777777" w:rsidR="00B66D57" w:rsidRDefault="00D95DFC">
            <w:pPr>
              <w:spacing w:after="0" w:line="240" w:lineRule="auto"/>
            </w:pPr>
            <w:r>
              <w:t>3</w:t>
            </w:r>
          </w:p>
        </w:tc>
        <w:tc>
          <w:tcPr>
            <w:tcW w:w="1701" w:type="dxa"/>
          </w:tcPr>
          <w:p w14:paraId="3350ECD4" w14:textId="77777777" w:rsidR="00B66D57" w:rsidRDefault="00D95DFC">
            <w:pPr>
              <w:spacing w:after="0" w:line="240" w:lineRule="auto"/>
            </w:pPr>
            <w:r>
              <w:t>48-49</w:t>
            </w:r>
          </w:p>
        </w:tc>
        <w:tc>
          <w:tcPr>
            <w:tcW w:w="1417" w:type="dxa"/>
          </w:tcPr>
          <w:p w14:paraId="429A42CE" w14:textId="77777777" w:rsidR="00B66D57" w:rsidRDefault="00D95DFC">
            <w:pPr>
              <w:spacing w:after="0" w:line="240" w:lineRule="auto"/>
            </w:pPr>
            <w:r>
              <w:t xml:space="preserve">Figure 9 </w:t>
            </w:r>
          </w:p>
        </w:tc>
        <w:tc>
          <w:tcPr>
            <w:tcW w:w="1843" w:type="dxa"/>
          </w:tcPr>
          <w:p w14:paraId="33019EBF" w14:textId="77777777" w:rsidR="00B66D57" w:rsidRDefault="00D95DFC">
            <w:pPr>
              <w:spacing w:after="0" w:line="240" w:lineRule="auto"/>
            </w:pPr>
            <w:r>
              <w:t xml:space="preserve">Density </w:t>
            </w:r>
          </w:p>
        </w:tc>
        <w:tc>
          <w:tcPr>
            <w:tcW w:w="3067" w:type="dxa"/>
          </w:tcPr>
          <w:p w14:paraId="6033CAEB" w14:textId="77777777" w:rsidR="00B66D57" w:rsidRDefault="00D95DFC">
            <w:pPr>
              <w:spacing w:after="0" w:line="240" w:lineRule="auto"/>
            </w:pPr>
            <w:r>
              <w:t>Q7:  Rye is a categorised as “rural”</w:t>
            </w:r>
            <w:r>
              <w:rPr>
                <w:lang w:val="en-US"/>
              </w:rPr>
              <w:t xml:space="preserve">, </w:t>
            </w:r>
            <w:r>
              <w:t>“heritage</w:t>
            </w:r>
            <w:r>
              <w:rPr>
                <w:lang w:val="en-US"/>
              </w:rPr>
              <w:t>” and “maritime”</w:t>
            </w:r>
            <w:r>
              <w:t xml:space="preserve"> location”. Rye strives to keep new building heights to 2.5 storeys</w:t>
            </w:r>
            <w:r>
              <w:rPr>
                <w:lang w:val="en-US"/>
              </w:rPr>
              <w:t xml:space="preserve"> to help preserve the unique character. </w:t>
            </w:r>
            <w:r>
              <w:t xml:space="preserve">It has reviewed appropriate density for new housing. It finds that areas of new development fall into the “Live Well Locally” category; </w:t>
            </w:r>
            <w:proofErr w:type="gramStart"/>
            <w:r>
              <w:t>therefore</w:t>
            </w:r>
            <w:proofErr w:type="gramEnd"/>
            <w:r>
              <w:t xml:space="preserve"> should be in the average 40 u/ha. </w:t>
            </w:r>
          </w:p>
          <w:p w14:paraId="3DFC88CA" w14:textId="77777777" w:rsidR="00B66D57" w:rsidRDefault="00D95DFC">
            <w:pPr>
              <w:spacing w:after="0" w:line="240" w:lineRule="auto"/>
              <w:rPr>
                <w:lang w:val="en-US"/>
              </w:rPr>
            </w:pPr>
            <w:r>
              <w:rPr>
                <w:lang w:val="en-US"/>
              </w:rPr>
              <w:t xml:space="preserve">The category “urban” does not realistically apply to Rye. For design purposes, the </w:t>
            </w:r>
            <w:proofErr w:type="spellStart"/>
            <w:r>
              <w:rPr>
                <w:lang w:val="en-US"/>
              </w:rPr>
              <w:t>Neighbourhood</w:t>
            </w:r>
            <w:proofErr w:type="spellEnd"/>
            <w:r>
              <w:rPr>
                <w:lang w:val="en-US"/>
              </w:rPr>
              <w:t xml:space="preserve"> Plan </w:t>
            </w:r>
            <w:proofErr w:type="gramStart"/>
            <w:r>
              <w:rPr>
                <w:lang w:val="en-US"/>
              </w:rPr>
              <w:t>create</w:t>
            </w:r>
            <w:proofErr w:type="gramEnd"/>
            <w:r>
              <w:rPr>
                <w:lang w:val="en-US"/>
              </w:rPr>
              <w:t xml:space="preserve"> three Zones: Yellow, Blue and Green. Only the Yellow can be sensibly called urban. The other two are rural suburban.  </w:t>
            </w:r>
          </w:p>
          <w:p w14:paraId="1C188B0C" w14:textId="77777777" w:rsidR="00B66D57" w:rsidRDefault="00B66D57">
            <w:pPr>
              <w:spacing w:after="0" w:line="240" w:lineRule="auto"/>
              <w:rPr>
                <w:lang w:val="en-US"/>
              </w:rPr>
            </w:pPr>
          </w:p>
        </w:tc>
      </w:tr>
      <w:tr w:rsidR="00B66D57" w14:paraId="16838655" w14:textId="77777777">
        <w:tc>
          <w:tcPr>
            <w:tcW w:w="994" w:type="dxa"/>
          </w:tcPr>
          <w:p w14:paraId="7979E60C" w14:textId="77777777" w:rsidR="00B66D57" w:rsidRDefault="00D95DFC">
            <w:pPr>
              <w:spacing w:after="0" w:line="240" w:lineRule="auto"/>
            </w:pPr>
            <w:r>
              <w:lastRenderedPageBreak/>
              <w:t>3</w:t>
            </w:r>
          </w:p>
        </w:tc>
        <w:tc>
          <w:tcPr>
            <w:tcW w:w="1701" w:type="dxa"/>
          </w:tcPr>
          <w:p w14:paraId="547B620E" w14:textId="77777777" w:rsidR="00B66D57" w:rsidRDefault="00D95DFC">
            <w:pPr>
              <w:spacing w:after="0" w:line="240" w:lineRule="auto"/>
            </w:pPr>
            <w:r>
              <w:t>56</w:t>
            </w:r>
          </w:p>
        </w:tc>
        <w:tc>
          <w:tcPr>
            <w:tcW w:w="1417" w:type="dxa"/>
          </w:tcPr>
          <w:p w14:paraId="1C6D8B21" w14:textId="77777777" w:rsidR="00B66D57" w:rsidRDefault="00D95DFC">
            <w:pPr>
              <w:spacing w:after="0" w:line="240" w:lineRule="auto"/>
            </w:pPr>
            <w:r>
              <w:t xml:space="preserve">Figure 10 </w:t>
            </w:r>
          </w:p>
        </w:tc>
        <w:tc>
          <w:tcPr>
            <w:tcW w:w="1843" w:type="dxa"/>
          </w:tcPr>
          <w:p w14:paraId="317F34E0" w14:textId="77777777" w:rsidR="00B66D57" w:rsidRDefault="00D95DFC">
            <w:pPr>
              <w:spacing w:after="0" w:line="240" w:lineRule="auto"/>
            </w:pPr>
            <w:r>
              <w:t xml:space="preserve">Rye Strategy </w:t>
            </w:r>
          </w:p>
        </w:tc>
        <w:tc>
          <w:tcPr>
            <w:tcW w:w="3067" w:type="dxa"/>
          </w:tcPr>
          <w:p w14:paraId="781C3E94" w14:textId="77777777" w:rsidR="00B66D57" w:rsidRDefault="00D95DFC">
            <w:pPr>
              <w:spacing w:after="0" w:line="240" w:lineRule="auto"/>
            </w:pPr>
            <w:r>
              <w:t xml:space="preserve">Q9:  Rye is content that the Rye portion of the housing and employment growth figures are achievable within the plan period, provided that the employment growth figure takes account of further development in the Rye Harbour Road.  </w:t>
            </w:r>
          </w:p>
          <w:p w14:paraId="6E999F5C" w14:textId="77777777" w:rsidR="00B66D57" w:rsidRDefault="00B66D57">
            <w:pPr>
              <w:spacing w:after="0" w:line="240" w:lineRule="auto"/>
            </w:pPr>
          </w:p>
        </w:tc>
      </w:tr>
      <w:tr w:rsidR="00B66D57" w14:paraId="23EB63B2" w14:textId="77777777">
        <w:tc>
          <w:tcPr>
            <w:tcW w:w="994" w:type="dxa"/>
          </w:tcPr>
          <w:p w14:paraId="4EC532BC" w14:textId="77777777" w:rsidR="00B66D57" w:rsidRDefault="00D95DFC">
            <w:pPr>
              <w:spacing w:after="0" w:line="240" w:lineRule="auto"/>
            </w:pPr>
            <w:r>
              <w:t>3</w:t>
            </w:r>
          </w:p>
        </w:tc>
        <w:tc>
          <w:tcPr>
            <w:tcW w:w="1701" w:type="dxa"/>
          </w:tcPr>
          <w:p w14:paraId="7E38378D" w14:textId="77777777" w:rsidR="00B66D57" w:rsidRDefault="00D95DFC">
            <w:pPr>
              <w:spacing w:after="0" w:line="240" w:lineRule="auto"/>
            </w:pPr>
            <w:r>
              <w:t xml:space="preserve">57 </w:t>
            </w:r>
          </w:p>
        </w:tc>
        <w:tc>
          <w:tcPr>
            <w:tcW w:w="1417" w:type="dxa"/>
          </w:tcPr>
          <w:p w14:paraId="4DB81395" w14:textId="77777777" w:rsidR="00B66D57" w:rsidRDefault="00D95DFC">
            <w:pPr>
              <w:spacing w:after="0" w:line="240" w:lineRule="auto"/>
            </w:pPr>
            <w:r>
              <w:t>Figure 11</w:t>
            </w:r>
          </w:p>
        </w:tc>
        <w:tc>
          <w:tcPr>
            <w:tcW w:w="1843" w:type="dxa"/>
          </w:tcPr>
          <w:p w14:paraId="29D4229B" w14:textId="77777777" w:rsidR="00B66D57" w:rsidRDefault="00D95DFC">
            <w:pPr>
              <w:spacing w:after="0" w:line="240" w:lineRule="auto"/>
            </w:pPr>
            <w:r>
              <w:t xml:space="preserve">Dev Strategy </w:t>
            </w:r>
          </w:p>
        </w:tc>
        <w:tc>
          <w:tcPr>
            <w:tcW w:w="3067" w:type="dxa"/>
          </w:tcPr>
          <w:p w14:paraId="4A40683A" w14:textId="77777777" w:rsidR="00B66D57" w:rsidRDefault="00D95DFC">
            <w:pPr>
              <w:spacing w:after="0" w:line="240" w:lineRule="auto"/>
            </w:pPr>
            <w:r>
              <w:t xml:space="preserve">Rye agrees that </w:t>
            </w:r>
            <w:r>
              <w:rPr>
                <w:lang w:val="en-US"/>
              </w:rPr>
              <w:t>Fi</w:t>
            </w:r>
            <w:proofErr w:type="spellStart"/>
            <w:r>
              <w:t>gure</w:t>
            </w:r>
            <w:proofErr w:type="spellEnd"/>
            <w:r>
              <w:rPr>
                <w:lang w:val="en-US"/>
              </w:rPr>
              <w:t xml:space="preserve"> 11</w:t>
            </w:r>
            <w:r>
              <w:t xml:space="preserve"> represents the development strategy and constraints in and around Rye. </w:t>
            </w:r>
          </w:p>
        </w:tc>
      </w:tr>
      <w:tr w:rsidR="00B66D57" w14:paraId="715612EF" w14:textId="77777777">
        <w:tc>
          <w:tcPr>
            <w:tcW w:w="994" w:type="dxa"/>
          </w:tcPr>
          <w:p w14:paraId="185C695A" w14:textId="77777777" w:rsidR="00B66D57" w:rsidRDefault="00D95DFC">
            <w:pPr>
              <w:spacing w:after="0" w:line="240" w:lineRule="auto"/>
              <w:rPr>
                <w:lang w:val="en-US"/>
              </w:rPr>
            </w:pPr>
            <w:r>
              <w:rPr>
                <w:lang w:val="en-US"/>
              </w:rPr>
              <w:t>3</w:t>
            </w:r>
          </w:p>
        </w:tc>
        <w:tc>
          <w:tcPr>
            <w:tcW w:w="1701" w:type="dxa"/>
          </w:tcPr>
          <w:p w14:paraId="2C425253" w14:textId="77777777" w:rsidR="00B66D57" w:rsidRDefault="00D95DFC">
            <w:pPr>
              <w:spacing w:after="0" w:line="240" w:lineRule="auto"/>
              <w:rPr>
                <w:lang w:val="en-US"/>
              </w:rPr>
            </w:pPr>
            <w:r>
              <w:rPr>
                <w:lang w:val="en-US"/>
              </w:rPr>
              <w:t>58 - 59</w:t>
            </w:r>
          </w:p>
        </w:tc>
        <w:tc>
          <w:tcPr>
            <w:tcW w:w="1417" w:type="dxa"/>
          </w:tcPr>
          <w:p w14:paraId="075D0F93" w14:textId="77777777" w:rsidR="00B66D57" w:rsidRDefault="00D95DFC">
            <w:pPr>
              <w:spacing w:after="0" w:line="240" w:lineRule="auto"/>
              <w:rPr>
                <w:lang w:val="en-US"/>
              </w:rPr>
            </w:pPr>
            <w:r>
              <w:rPr>
                <w:lang w:val="en-US"/>
              </w:rPr>
              <w:t>6.11 - 6.18</w:t>
            </w:r>
          </w:p>
        </w:tc>
        <w:tc>
          <w:tcPr>
            <w:tcW w:w="1843" w:type="dxa"/>
          </w:tcPr>
          <w:p w14:paraId="182B3094" w14:textId="77777777" w:rsidR="00B66D57" w:rsidRDefault="00D95DFC">
            <w:pPr>
              <w:spacing w:after="0" w:line="240" w:lineRule="auto"/>
              <w:rPr>
                <w:lang w:val="en-US"/>
              </w:rPr>
            </w:pPr>
            <w:r>
              <w:rPr>
                <w:lang w:val="en-US"/>
              </w:rPr>
              <w:t xml:space="preserve">Dev Strategy </w:t>
            </w:r>
          </w:p>
        </w:tc>
        <w:tc>
          <w:tcPr>
            <w:tcW w:w="3067" w:type="dxa"/>
          </w:tcPr>
          <w:p w14:paraId="4BF35DC1" w14:textId="77777777" w:rsidR="00B66D57" w:rsidRDefault="00D95DFC">
            <w:pPr>
              <w:spacing w:after="0" w:line="240" w:lineRule="auto"/>
              <w:rPr>
                <w:lang w:val="en-US"/>
              </w:rPr>
            </w:pPr>
            <w:r>
              <w:rPr>
                <w:lang w:val="en-US"/>
              </w:rPr>
              <w:t xml:space="preserve">Rye endorses the text on rural communities and the need for sustainable transport. </w:t>
            </w:r>
          </w:p>
          <w:p w14:paraId="52609399" w14:textId="77777777" w:rsidR="00B66D57" w:rsidRDefault="00B66D57">
            <w:pPr>
              <w:spacing w:after="0" w:line="240" w:lineRule="auto"/>
              <w:rPr>
                <w:lang w:val="en-US"/>
              </w:rPr>
            </w:pPr>
          </w:p>
          <w:p w14:paraId="5E0B304B" w14:textId="77777777" w:rsidR="00B66D57" w:rsidRDefault="00D95DFC">
            <w:pPr>
              <w:spacing w:after="0" w:line="240" w:lineRule="auto"/>
              <w:rPr>
                <w:lang w:val="en-US"/>
              </w:rPr>
            </w:pPr>
            <w:r>
              <w:rPr>
                <w:lang w:val="en-US"/>
              </w:rPr>
              <w:t>Rye agrees that the five split area is a more helpful description than the current term of “Rural Rother”.</w:t>
            </w:r>
          </w:p>
          <w:p w14:paraId="6E4893AC" w14:textId="77777777" w:rsidR="00B66D57" w:rsidRDefault="00B66D57">
            <w:pPr>
              <w:spacing w:after="0" w:line="240" w:lineRule="auto"/>
              <w:rPr>
                <w:lang w:val="en-US"/>
              </w:rPr>
            </w:pPr>
          </w:p>
        </w:tc>
      </w:tr>
      <w:tr w:rsidR="00B66D57" w14:paraId="4F9FC7C8" w14:textId="77777777">
        <w:tc>
          <w:tcPr>
            <w:tcW w:w="994" w:type="dxa"/>
          </w:tcPr>
          <w:p w14:paraId="0E2158EF" w14:textId="77777777" w:rsidR="00B66D57" w:rsidRDefault="00D95DFC">
            <w:pPr>
              <w:spacing w:after="0" w:line="240" w:lineRule="auto"/>
            </w:pPr>
            <w:r>
              <w:t>3</w:t>
            </w:r>
          </w:p>
        </w:tc>
        <w:tc>
          <w:tcPr>
            <w:tcW w:w="1701" w:type="dxa"/>
          </w:tcPr>
          <w:p w14:paraId="305D70EA" w14:textId="77777777" w:rsidR="00B66D57" w:rsidRDefault="00D95DFC">
            <w:pPr>
              <w:spacing w:after="0" w:line="240" w:lineRule="auto"/>
            </w:pPr>
            <w:r>
              <w:t xml:space="preserve">86 </w:t>
            </w:r>
          </w:p>
        </w:tc>
        <w:tc>
          <w:tcPr>
            <w:tcW w:w="1417" w:type="dxa"/>
          </w:tcPr>
          <w:p w14:paraId="0BC17B4E" w14:textId="77777777" w:rsidR="00B66D57" w:rsidRDefault="00D95DFC">
            <w:pPr>
              <w:spacing w:after="0" w:line="240" w:lineRule="auto"/>
            </w:pPr>
            <w:r>
              <w:t xml:space="preserve">Figure 23 </w:t>
            </w:r>
          </w:p>
        </w:tc>
        <w:tc>
          <w:tcPr>
            <w:tcW w:w="1843" w:type="dxa"/>
          </w:tcPr>
          <w:p w14:paraId="18A41EF4" w14:textId="77777777" w:rsidR="00B66D57" w:rsidRDefault="00D95DFC">
            <w:pPr>
              <w:spacing w:after="0" w:line="240" w:lineRule="auto"/>
            </w:pPr>
            <w:r>
              <w:t xml:space="preserve">Dev Summary </w:t>
            </w:r>
          </w:p>
        </w:tc>
        <w:tc>
          <w:tcPr>
            <w:tcW w:w="3067" w:type="dxa"/>
          </w:tcPr>
          <w:p w14:paraId="6B443248" w14:textId="77777777" w:rsidR="00B66D57" w:rsidRDefault="00D95DFC">
            <w:pPr>
              <w:spacing w:after="0" w:line="240" w:lineRule="auto"/>
            </w:pPr>
            <w:r>
              <w:t xml:space="preserve">Rye agrees that the figure represents the development strategy and constraints in and around Rye, provided that the employment growth figure takes account of further development in the Rye Harbour Road.  </w:t>
            </w:r>
          </w:p>
          <w:p w14:paraId="3249E47A" w14:textId="77777777" w:rsidR="00B66D57" w:rsidRDefault="00B66D57">
            <w:pPr>
              <w:spacing w:after="0" w:line="240" w:lineRule="auto"/>
            </w:pPr>
          </w:p>
          <w:p w14:paraId="57CEDA96" w14:textId="77777777" w:rsidR="00B66D57" w:rsidRDefault="00D95DFC">
            <w:pPr>
              <w:spacing w:after="0" w:line="240" w:lineRule="auto"/>
              <w:rPr>
                <w:lang w:val="en-US"/>
              </w:rPr>
            </w:pPr>
            <w:r>
              <w:rPr>
                <w:lang w:val="en-US"/>
              </w:rPr>
              <w:t xml:space="preserve">To be more sustainable, there is a need for more employment within walking/wheeling distance of the main outer suburbs of Rye. </w:t>
            </w:r>
          </w:p>
          <w:p w14:paraId="35A48429" w14:textId="77777777" w:rsidR="00B66D57" w:rsidRDefault="00B66D57">
            <w:pPr>
              <w:spacing w:after="0" w:line="240" w:lineRule="auto"/>
            </w:pPr>
          </w:p>
          <w:p w14:paraId="036EE04E" w14:textId="77777777" w:rsidR="00B66D57" w:rsidRDefault="00B66D57">
            <w:pPr>
              <w:spacing w:after="0" w:line="240" w:lineRule="auto"/>
            </w:pPr>
          </w:p>
        </w:tc>
      </w:tr>
      <w:tr w:rsidR="00B66D57" w14:paraId="3D2A787A" w14:textId="77777777">
        <w:tc>
          <w:tcPr>
            <w:tcW w:w="994" w:type="dxa"/>
          </w:tcPr>
          <w:p w14:paraId="3FC02D61" w14:textId="77777777" w:rsidR="00B66D57" w:rsidRDefault="00D95DFC">
            <w:pPr>
              <w:spacing w:after="0" w:line="240" w:lineRule="auto"/>
            </w:pPr>
            <w:r>
              <w:lastRenderedPageBreak/>
              <w:t>4</w:t>
            </w:r>
          </w:p>
        </w:tc>
        <w:tc>
          <w:tcPr>
            <w:tcW w:w="1701" w:type="dxa"/>
          </w:tcPr>
          <w:p w14:paraId="4A99C764" w14:textId="77777777" w:rsidR="00B66D57" w:rsidRDefault="00D95DFC">
            <w:pPr>
              <w:spacing w:after="0" w:line="240" w:lineRule="auto"/>
            </w:pPr>
            <w:r>
              <w:t xml:space="preserve">104 – 106 </w:t>
            </w:r>
          </w:p>
        </w:tc>
        <w:tc>
          <w:tcPr>
            <w:tcW w:w="1417" w:type="dxa"/>
          </w:tcPr>
          <w:p w14:paraId="0883296A" w14:textId="77777777" w:rsidR="00B66D57" w:rsidRDefault="00D95DFC">
            <w:pPr>
              <w:spacing w:after="0" w:line="240" w:lineRule="auto"/>
            </w:pPr>
            <w:r>
              <w:t>7.1 to 7.9</w:t>
            </w:r>
          </w:p>
        </w:tc>
        <w:tc>
          <w:tcPr>
            <w:tcW w:w="1843" w:type="dxa"/>
          </w:tcPr>
          <w:p w14:paraId="2AD87212" w14:textId="77777777" w:rsidR="00B66D57" w:rsidRDefault="00D95DFC">
            <w:pPr>
              <w:spacing w:after="0" w:line="240" w:lineRule="auto"/>
            </w:pPr>
            <w:r>
              <w:t xml:space="preserve">Allocations </w:t>
            </w:r>
          </w:p>
        </w:tc>
        <w:tc>
          <w:tcPr>
            <w:tcW w:w="3067" w:type="dxa"/>
          </w:tcPr>
          <w:p w14:paraId="4C9CD69C" w14:textId="77777777" w:rsidR="00B66D57" w:rsidRDefault="00D95DFC">
            <w:pPr>
              <w:spacing w:after="0" w:line="240" w:lineRule="auto"/>
            </w:pPr>
            <w:r>
              <w:t>Rye has made its own site assessment and site allocation, which provided the basis for the made 2019 RNP and subsequently the reviewed plan. The review has fed into the Rother site assessment</w:t>
            </w:r>
            <w:r>
              <w:rPr>
                <w:lang w:val="en-US"/>
              </w:rPr>
              <w:t xml:space="preserve"> (HELAA)</w:t>
            </w:r>
            <w:r>
              <w:t xml:space="preserve">. </w:t>
            </w:r>
          </w:p>
          <w:p w14:paraId="37E1EFBF" w14:textId="77777777" w:rsidR="00B66D57" w:rsidRDefault="00B66D57">
            <w:pPr>
              <w:spacing w:after="0" w:line="240" w:lineRule="auto"/>
            </w:pPr>
          </w:p>
          <w:p w14:paraId="71B73A64" w14:textId="77777777" w:rsidR="00B66D57" w:rsidRDefault="00D95DFC">
            <w:pPr>
              <w:spacing w:after="0" w:line="240" w:lineRule="auto"/>
              <w:rPr>
                <w:lang w:val="en-US"/>
              </w:rPr>
            </w:pPr>
            <w:proofErr w:type="gramStart"/>
            <w:r>
              <w:t>However</w:t>
            </w:r>
            <w:proofErr w:type="gramEnd"/>
            <w:r>
              <w:t xml:space="preserve"> as </w:t>
            </w:r>
            <w:proofErr w:type="spellStart"/>
            <w:r>
              <w:t>th</w:t>
            </w:r>
            <w:proofErr w:type="spellEnd"/>
            <w:r>
              <w:rPr>
                <w:lang w:val="en-US"/>
              </w:rPr>
              <w:t>is</w:t>
            </w:r>
            <w:r>
              <w:t xml:space="preserve"> Rother DC plan now replicates the Rye allocation, is this contrary to Locality guidance for the division of allocation between District and NPs? </w:t>
            </w:r>
            <w:r>
              <w:rPr>
                <w:lang w:val="en-US"/>
              </w:rPr>
              <w:t xml:space="preserve">During consultations, what voice does Rye have about representations which are counter to the </w:t>
            </w:r>
            <w:proofErr w:type="spellStart"/>
            <w:r>
              <w:rPr>
                <w:lang w:val="en-US"/>
              </w:rPr>
              <w:t>Neighbourhood</w:t>
            </w:r>
            <w:proofErr w:type="spellEnd"/>
            <w:r>
              <w:rPr>
                <w:lang w:val="en-US"/>
              </w:rPr>
              <w:t xml:space="preserve"> Plan? </w:t>
            </w:r>
          </w:p>
          <w:p w14:paraId="1D47FD86" w14:textId="77777777" w:rsidR="00B66D57" w:rsidRDefault="00B66D57">
            <w:pPr>
              <w:spacing w:after="0" w:line="240" w:lineRule="auto"/>
            </w:pPr>
          </w:p>
          <w:p w14:paraId="6DD5C66F" w14:textId="77777777" w:rsidR="00B66D57" w:rsidRDefault="00B66D57">
            <w:pPr>
              <w:spacing w:after="0" w:line="240" w:lineRule="auto"/>
            </w:pPr>
          </w:p>
        </w:tc>
      </w:tr>
      <w:tr w:rsidR="00B66D57" w14:paraId="696669BF" w14:textId="77777777">
        <w:tc>
          <w:tcPr>
            <w:tcW w:w="994" w:type="dxa"/>
          </w:tcPr>
          <w:p w14:paraId="215CA661" w14:textId="77777777" w:rsidR="00B66D57" w:rsidRDefault="00D95DFC">
            <w:pPr>
              <w:spacing w:after="0" w:line="240" w:lineRule="auto"/>
              <w:rPr>
                <w:lang w:val="en-US"/>
              </w:rPr>
            </w:pPr>
            <w:r>
              <w:rPr>
                <w:lang w:val="en-US"/>
              </w:rPr>
              <w:t>4</w:t>
            </w:r>
          </w:p>
        </w:tc>
        <w:tc>
          <w:tcPr>
            <w:tcW w:w="1701" w:type="dxa"/>
          </w:tcPr>
          <w:p w14:paraId="7A67AAB5" w14:textId="77777777" w:rsidR="00B66D57" w:rsidRDefault="00D95DFC">
            <w:pPr>
              <w:spacing w:after="0" w:line="240" w:lineRule="auto"/>
            </w:pPr>
            <w:r>
              <w:t xml:space="preserve">447 – 469 </w:t>
            </w:r>
          </w:p>
        </w:tc>
        <w:tc>
          <w:tcPr>
            <w:tcW w:w="1417" w:type="dxa"/>
          </w:tcPr>
          <w:p w14:paraId="760CC8ED" w14:textId="77777777" w:rsidR="00B66D57" w:rsidRDefault="00B66D57">
            <w:pPr>
              <w:spacing w:after="0" w:line="240" w:lineRule="auto"/>
            </w:pPr>
          </w:p>
        </w:tc>
        <w:tc>
          <w:tcPr>
            <w:tcW w:w="1843" w:type="dxa"/>
          </w:tcPr>
          <w:p w14:paraId="638530F2" w14:textId="77777777" w:rsidR="00B66D57" w:rsidRDefault="00D95DFC">
            <w:pPr>
              <w:spacing w:after="0" w:line="240" w:lineRule="auto"/>
            </w:pPr>
            <w:r>
              <w:t xml:space="preserve">Rye Allocations </w:t>
            </w:r>
          </w:p>
        </w:tc>
        <w:tc>
          <w:tcPr>
            <w:tcW w:w="3067" w:type="dxa"/>
          </w:tcPr>
          <w:p w14:paraId="07B38FB4" w14:textId="77777777" w:rsidR="00B66D57" w:rsidRDefault="00D95DFC">
            <w:pPr>
              <w:spacing w:after="0" w:line="240" w:lineRule="auto"/>
            </w:pPr>
            <w:r>
              <w:t>Q49: Rye notes that this section replicates the allocations including small sites</w:t>
            </w:r>
            <w:r>
              <w:rPr>
                <w:lang w:val="en-US"/>
              </w:rPr>
              <w:t xml:space="preserve">, </w:t>
            </w:r>
            <w:r>
              <w:t xml:space="preserve">of the Rye NP. Rye will welcome advice on </w:t>
            </w:r>
          </w:p>
          <w:p w14:paraId="0E9CB36D" w14:textId="77777777" w:rsidR="00B66D57" w:rsidRDefault="00D95DFC">
            <w:pPr>
              <w:spacing w:after="0" w:line="240" w:lineRule="auto"/>
            </w:pPr>
            <w:r>
              <w:t xml:space="preserve">how representations made on this draft plan will be handled to take account of the Rye Neighbourhood Planning process.  </w:t>
            </w:r>
          </w:p>
          <w:p w14:paraId="2C9C1791" w14:textId="77777777" w:rsidR="00B66D57" w:rsidRDefault="00B66D57">
            <w:pPr>
              <w:spacing w:after="0" w:line="240" w:lineRule="auto"/>
            </w:pPr>
          </w:p>
          <w:p w14:paraId="7B40EDA3" w14:textId="77777777" w:rsidR="00B66D57" w:rsidRDefault="00D95DFC">
            <w:pPr>
              <w:spacing w:after="0" w:line="240" w:lineRule="auto"/>
              <w:rPr>
                <w:lang w:val="en-US"/>
              </w:rPr>
            </w:pPr>
            <w:r>
              <w:rPr>
                <w:lang w:val="en-US"/>
              </w:rPr>
              <w:t xml:space="preserve">Detailed comments on the 9 Brownfield sites within the development boundary are below. </w:t>
            </w:r>
          </w:p>
          <w:p w14:paraId="04E98FDD" w14:textId="77777777" w:rsidR="00B66D57" w:rsidRDefault="00B66D57">
            <w:pPr>
              <w:spacing w:after="0" w:line="240" w:lineRule="auto"/>
            </w:pPr>
          </w:p>
          <w:p w14:paraId="0F40B853" w14:textId="77777777" w:rsidR="00B66D57" w:rsidRDefault="00D95DFC">
            <w:pPr>
              <w:spacing w:after="0" w:line="240" w:lineRule="auto"/>
            </w:pPr>
            <w:r>
              <w:t>It is also noted that despite local priorities to include affordable housing – for younger people in the hospitality, care and education industries - that during the planning process for RY3</w:t>
            </w:r>
            <w:r>
              <w:rPr>
                <w:lang w:val="en-US"/>
              </w:rPr>
              <w:t xml:space="preserve"> </w:t>
            </w:r>
            <w:r>
              <w:t xml:space="preserve">and RY9 no </w:t>
            </w:r>
            <w:r>
              <w:lastRenderedPageBreak/>
              <w:t>affordable housing is required to be provided</w:t>
            </w:r>
            <w:r>
              <w:rPr>
                <w:lang w:val="en-US"/>
              </w:rPr>
              <w:t xml:space="preserve">, </w:t>
            </w:r>
            <w:r>
              <w:t xml:space="preserve">on grounds of “viability”. </w:t>
            </w:r>
          </w:p>
          <w:p w14:paraId="40EC13FB" w14:textId="77777777" w:rsidR="00B66D57" w:rsidRDefault="00B66D57">
            <w:pPr>
              <w:spacing w:after="0" w:line="240" w:lineRule="auto"/>
            </w:pPr>
          </w:p>
          <w:p w14:paraId="3BC75721" w14:textId="77777777" w:rsidR="00B66D57" w:rsidRDefault="00B66D57">
            <w:pPr>
              <w:spacing w:after="0" w:line="240" w:lineRule="auto"/>
            </w:pPr>
          </w:p>
        </w:tc>
      </w:tr>
      <w:tr w:rsidR="00B66D57" w14:paraId="46AC98F9" w14:textId="77777777">
        <w:trPr>
          <w:trHeight w:val="578"/>
        </w:trPr>
        <w:tc>
          <w:tcPr>
            <w:tcW w:w="994" w:type="dxa"/>
          </w:tcPr>
          <w:p w14:paraId="18F3BFA5" w14:textId="77777777" w:rsidR="00B66D57" w:rsidRDefault="00D95DFC">
            <w:pPr>
              <w:spacing w:after="0" w:line="240" w:lineRule="auto"/>
              <w:rPr>
                <w:lang w:val="en-US"/>
              </w:rPr>
            </w:pPr>
            <w:r>
              <w:rPr>
                <w:lang w:val="en-US"/>
              </w:rPr>
              <w:lastRenderedPageBreak/>
              <w:t>5</w:t>
            </w:r>
          </w:p>
        </w:tc>
        <w:tc>
          <w:tcPr>
            <w:tcW w:w="1701" w:type="dxa"/>
          </w:tcPr>
          <w:p w14:paraId="5A0BEF10" w14:textId="77777777" w:rsidR="00B66D57" w:rsidRDefault="00D95DFC">
            <w:pPr>
              <w:spacing w:after="0" w:line="240" w:lineRule="auto"/>
            </w:pPr>
            <w:r>
              <w:t xml:space="preserve">589 </w:t>
            </w:r>
          </w:p>
        </w:tc>
        <w:tc>
          <w:tcPr>
            <w:tcW w:w="1417" w:type="dxa"/>
          </w:tcPr>
          <w:p w14:paraId="16DF15A7" w14:textId="77777777" w:rsidR="00B66D57" w:rsidRDefault="00D95DFC">
            <w:pPr>
              <w:spacing w:after="0" w:line="240" w:lineRule="auto"/>
              <w:rPr>
                <w:lang w:val="en-US"/>
              </w:rPr>
            </w:pPr>
            <w:r>
              <w:rPr>
                <w:lang w:val="en-US"/>
              </w:rPr>
              <w:t>Appx 1</w:t>
            </w:r>
          </w:p>
        </w:tc>
        <w:tc>
          <w:tcPr>
            <w:tcW w:w="1843" w:type="dxa"/>
          </w:tcPr>
          <w:p w14:paraId="074E5D2C" w14:textId="77777777" w:rsidR="00B66D57" w:rsidRDefault="00D95DFC">
            <w:pPr>
              <w:spacing w:after="0" w:line="240" w:lineRule="auto"/>
              <w:rPr>
                <w:lang w:val="en-US"/>
              </w:rPr>
            </w:pPr>
            <w:r>
              <w:rPr>
                <w:lang w:val="en-US"/>
              </w:rPr>
              <w:t xml:space="preserve">Streets for All </w:t>
            </w:r>
          </w:p>
        </w:tc>
        <w:tc>
          <w:tcPr>
            <w:tcW w:w="3067" w:type="dxa"/>
          </w:tcPr>
          <w:p w14:paraId="6459089F" w14:textId="77777777" w:rsidR="00B66D57" w:rsidRDefault="00D95DFC">
            <w:pPr>
              <w:spacing w:after="0" w:line="240" w:lineRule="auto"/>
            </w:pPr>
            <w:r>
              <w:rPr>
                <w:lang w:val="en-US"/>
              </w:rPr>
              <w:t xml:space="preserve">Q66: </w:t>
            </w:r>
            <w:r>
              <w:t xml:space="preserve">Rye supports the Streets for All policy </w:t>
            </w:r>
          </w:p>
        </w:tc>
      </w:tr>
      <w:tr w:rsidR="00B66D57" w14:paraId="78E47A59" w14:textId="77777777">
        <w:tc>
          <w:tcPr>
            <w:tcW w:w="994" w:type="dxa"/>
          </w:tcPr>
          <w:p w14:paraId="667560CC" w14:textId="77777777" w:rsidR="00B66D57" w:rsidRDefault="00D95DFC">
            <w:pPr>
              <w:spacing w:after="0" w:line="240" w:lineRule="auto"/>
              <w:rPr>
                <w:lang w:val="en-US"/>
              </w:rPr>
            </w:pPr>
            <w:r>
              <w:rPr>
                <w:lang w:val="en-US"/>
              </w:rPr>
              <w:t>5</w:t>
            </w:r>
          </w:p>
        </w:tc>
        <w:tc>
          <w:tcPr>
            <w:tcW w:w="1701" w:type="dxa"/>
          </w:tcPr>
          <w:p w14:paraId="400F51DE" w14:textId="77777777" w:rsidR="00B66D57" w:rsidRDefault="00D95DFC">
            <w:pPr>
              <w:spacing w:after="0" w:line="240" w:lineRule="auto"/>
            </w:pPr>
            <w:r>
              <w:t xml:space="preserve">593 – 604 </w:t>
            </w:r>
          </w:p>
        </w:tc>
        <w:tc>
          <w:tcPr>
            <w:tcW w:w="1417" w:type="dxa"/>
          </w:tcPr>
          <w:p w14:paraId="26C490BC" w14:textId="77777777" w:rsidR="00B66D57" w:rsidRDefault="00D95DFC">
            <w:pPr>
              <w:spacing w:after="0" w:line="240" w:lineRule="auto"/>
              <w:rPr>
                <w:lang w:val="en-US"/>
              </w:rPr>
            </w:pPr>
            <w:r>
              <w:rPr>
                <w:lang w:val="en-US"/>
              </w:rPr>
              <w:t>Appx 2</w:t>
            </w:r>
          </w:p>
        </w:tc>
        <w:tc>
          <w:tcPr>
            <w:tcW w:w="1843" w:type="dxa"/>
          </w:tcPr>
          <w:p w14:paraId="5DF14307" w14:textId="77777777" w:rsidR="00B66D57" w:rsidRDefault="00D95DFC">
            <w:pPr>
              <w:spacing w:after="0" w:line="240" w:lineRule="auto"/>
              <w:rPr>
                <w:lang w:val="en-US"/>
              </w:rPr>
            </w:pPr>
            <w:r>
              <w:rPr>
                <w:lang w:val="en-US"/>
              </w:rPr>
              <w:t xml:space="preserve">Glossary </w:t>
            </w:r>
          </w:p>
        </w:tc>
        <w:tc>
          <w:tcPr>
            <w:tcW w:w="3067" w:type="dxa"/>
          </w:tcPr>
          <w:p w14:paraId="0BA54F5E" w14:textId="77777777" w:rsidR="00B66D57" w:rsidRDefault="00D95DFC">
            <w:pPr>
              <w:spacing w:after="0" w:line="240" w:lineRule="auto"/>
              <w:rPr>
                <w:lang w:val="en-US"/>
              </w:rPr>
            </w:pPr>
            <w:r>
              <w:rPr>
                <w:lang w:val="en-US"/>
              </w:rPr>
              <w:t>Define:</w:t>
            </w:r>
          </w:p>
          <w:p w14:paraId="5FE28B3C" w14:textId="77777777" w:rsidR="00B66D57" w:rsidRDefault="00D95DFC">
            <w:pPr>
              <w:spacing w:after="0" w:line="240" w:lineRule="auto"/>
              <w:rPr>
                <w:lang w:val="en-US"/>
              </w:rPr>
            </w:pPr>
            <w:r>
              <w:rPr>
                <w:lang w:val="en-US"/>
              </w:rPr>
              <w:t>“Urban, Suburban and Rural”?</w:t>
            </w:r>
          </w:p>
          <w:p w14:paraId="11045E95" w14:textId="77777777" w:rsidR="00B66D57" w:rsidRDefault="00D95DFC">
            <w:pPr>
              <w:spacing w:after="0" w:line="240" w:lineRule="auto"/>
              <w:rPr>
                <w:lang w:val="en-US"/>
              </w:rPr>
            </w:pPr>
            <w:r>
              <w:rPr>
                <w:lang w:val="en-US"/>
              </w:rPr>
              <w:t xml:space="preserve">“Green and Blue Infrastructure”?  </w:t>
            </w:r>
          </w:p>
          <w:p w14:paraId="6FAD2F2D" w14:textId="77777777" w:rsidR="00B66D57" w:rsidRDefault="00B66D57">
            <w:pPr>
              <w:spacing w:after="0" w:line="240" w:lineRule="auto"/>
              <w:rPr>
                <w:lang w:val="en-US"/>
              </w:rPr>
            </w:pPr>
          </w:p>
          <w:p w14:paraId="61F7C243" w14:textId="77777777" w:rsidR="00B66D57" w:rsidRDefault="00B66D57">
            <w:pPr>
              <w:spacing w:after="0" w:line="240" w:lineRule="auto"/>
              <w:rPr>
                <w:lang w:val="en-US"/>
              </w:rPr>
            </w:pPr>
          </w:p>
        </w:tc>
      </w:tr>
      <w:tr w:rsidR="00B66D57" w14:paraId="32ABDBD1" w14:textId="77777777">
        <w:tc>
          <w:tcPr>
            <w:tcW w:w="994" w:type="dxa"/>
          </w:tcPr>
          <w:p w14:paraId="7036ABC1" w14:textId="77777777" w:rsidR="00B66D57" w:rsidRDefault="00D95DFC">
            <w:pPr>
              <w:spacing w:after="0" w:line="240" w:lineRule="auto"/>
              <w:rPr>
                <w:lang w:val="en-US"/>
              </w:rPr>
            </w:pPr>
            <w:r>
              <w:rPr>
                <w:lang w:val="en-US"/>
              </w:rPr>
              <w:t>5</w:t>
            </w:r>
          </w:p>
        </w:tc>
        <w:tc>
          <w:tcPr>
            <w:tcW w:w="1701" w:type="dxa"/>
          </w:tcPr>
          <w:p w14:paraId="7C67FC07" w14:textId="77777777" w:rsidR="00B66D57" w:rsidRDefault="00D95DFC">
            <w:pPr>
              <w:spacing w:after="0" w:line="240" w:lineRule="auto"/>
              <w:rPr>
                <w:lang w:val="en-US"/>
              </w:rPr>
            </w:pPr>
            <w:r>
              <w:rPr>
                <w:lang w:val="en-US"/>
              </w:rPr>
              <w:t>606 - 610</w:t>
            </w:r>
          </w:p>
        </w:tc>
        <w:tc>
          <w:tcPr>
            <w:tcW w:w="1417" w:type="dxa"/>
          </w:tcPr>
          <w:p w14:paraId="3C3C8E8E" w14:textId="77777777" w:rsidR="00B66D57" w:rsidRDefault="00D95DFC">
            <w:pPr>
              <w:spacing w:after="0" w:line="240" w:lineRule="auto"/>
              <w:rPr>
                <w:lang w:val="en-US"/>
              </w:rPr>
            </w:pPr>
            <w:r>
              <w:rPr>
                <w:lang w:val="en-US"/>
              </w:rPr>
              <w:t>Appx 3</w:t>
            </w:r>
          </w:p>
        </w:tc>
        <w:tc>
          <w:tcPr>
            <w:tcW w:w="1843" w:type="dxa"/>
          </w:tcPr>
          <w:p w14:paraId="7A35BAB8" w14:textId="77777777" w:rsidR="00B66D57" w:rsidRDefault="00D95DFC">
            <w:pPr>
              <w:spacing w:after="0" w:line="240" w:lineRule="auto"/>
              <w:rPr>
                <w:lang w:val="en-US"/>
              </w:rPr>
            </w:pPr>
            <w:r>
              <w:rPr>
                <w:lang w:val="en-US"/>
              </w:rPr>
              <w:t xml:space="preserve">Development Options </w:t>
            </w:r>
          </w:p>
        </w:tc>
        <w:tc>
          <w:tcPr>
            <w:tcW w:w="3067" w:type="dxa"/>
          </w:tcPr>
          <w:p w14:paraId="7A491C93" w14:textId="77777777" w:rsidR="00B66D57" w:rsidRDefault="00D95DFC">
            <w:pPr>
              <w:spacing w:after="0" w:line="240" w:lineRule="auto"/>
              <w:rPr>
                <w:lang w:val="en-US"/>
              </w:rPr>
            </w:pPr>
            <w:r>
              <w:rPr>
                <w:lang w:val="en-US"/>
              </w:rPr>
              <w:t>SD01- Agree Rye Cluster</w:t>
            </w:r>
          </w:p>
          <w:p w14:paraId="61DA3DCB" w14:textId="77777777" w:rsidR="00B66D57" w:rsidRDefault="00D95DFC">
            <w:pPr>
              <w:spacing w:after="0" w:line="240" w:lineRule="auto"/>
              <w:rPr>
                <w:lang w:val="en-US"/>
              </w:rPr>
            </w:pPr>
            <w:r>
              <w:rPr>
                <w:lang w:val="en-US"/>
              </w:rPr>
              <w:t>SD04- Disagree: this is “urban creep” which development boundaries are set to deter</w:t>
            </w:r>
          </w:p>
          <w:p w14:paraId="0C818178" w14:textId="77777777" w:rsidR="00B66D57" w:rsidRDefault="00D95DFC">
            <w:pPr>
              <w:spacing w:after="0" w:line="240" w:lineRule="auto"/>
              <w:rPr>
                <w:lang w:val="en-US"/>
              </w:rPr>
            </w:pPr>
            <w:r>
              <w:rPr>
                <w:lang w:val="en-US"/>
              </w:rPr>
              <w:t xml:space="preserve">SD06: Agree; all development sites in Rye are Brownfield </w:t>
            </w:r>
          </w:p>
          <w:p w14:paraId="5F50A193" w14:textId="77777777" w:rsidR="00B66D57" w:rsidRDefault="00D95DFC">
            <w:pPr>
              <w:spacing w:after="0" w:line="240" w:lineRule="auto"/>
              <w:rPr>
                <w:lang w:val="en-US"/>
              </w:rPr>
            </w:pPr>
            <w:r>
              <w:rPr>
                <w:lang w:val="en-US"/>
              </w:rPr>
              <w:t>SD08</w:t>
            </w:r>
            <w:proofErr w:type="gramStart"/>
            <w:r>
              <w:rPr>
                <w:lang w:val="en-US"/>
              </w:rPr>
              <w:t>:  Agree</w:t>
            </w:r>
            <w:proofErr w:type="gramEnd"/>
            <w:r>
              <w:rPr>
                <w:lang w:val="en-US"/>
              </w:rPr>
              <w:t xml:space="preserve"> that this arbitrary division is rejected.</w:t>
            </w:r>
          </w:p>
          <w:p w14:paraId="33535B18" w14:textId="77777777" w:rsidR="00B66D57" w:rsidRDefault="00D95DFC">
            <w:pPr>
              <w:spacing w:after="0" w:line="240" w:lineRule="auto"/>
              <w:rPr>
                <w:lang w:val="en-US"/>
              </w:rPr>
            </w:pPr>
            <w:r>
              <w:rPr>
                <w:lang w:val="en-US"/>
              </w:rPr>
              <w:t xml:space="preserve">SD09: </w:t>
            </w:r>
            <w:proofErr w:type="gramStart"/>
            <w:r>
              <w:rPr>
                <w:lang w:val="en-US"/>
              </w:rPr>
              <w:t>Agree</w:t>
            </w:r>
            <w:proofErr w:type="gramEnd"/>
            <w:r>
              <w:rPr>
                <w:lang w:val="en-US"/>
              </w:rPr>
              <w:t xml:space="preserve"> any development must take account of constraints</w:t>
            </w:r>
          </w:p>
          <w:p w14:paraId="1FDA87A1" w14:textId="77777777" w:rsidR="00B66D57" w:rsidRDefault="00D95DFC">
            <w:pPr>
              <w:spacing w:after="0" w:line="240" w:lineRule="auto"/>
              <w:rPr>
                <w:lang w:val="en-US"/>
              </w:rPr>
            </w:pPr>
            <w:r>
              <w:rPr>
                <w:lang w:val="en-US"/>
              </w:rPr>
              <w:t>SD011: Agree subject to constraints</w:t>
            </w:r>
          </w:p>
          <w:p w14:paraId="1D91F226" w14:textId="77777777" w:rsidR="00B66D57" w:rsidRDefault="00D95DFC">
            <w:pPr>
              <w:spacing w:after="0" w:line="240" w:lineRule="auto"/>
              <w:rPr>
                <w:lang w:val="en-US"/>
              </w:rPr>
            </w:pPr>
            <w:r>
              <w:rPr>
                <w:lang w:val="en-US"/>
              </w:rPr>
              <w:t>SDO12</w:t>
            </w:r>
            <w:proofErr w:type="gramStart"/>
            <w:r>
              <w:rPr>
                <w:lang w:val="en-US"/>
              </w:rPr>
              <w:t>:  Agree</w:t>
            </w:r>
            <w:proofErr w:type="gramEnd"/>
          </w:p>
          <w:p w14:paraId="03035A4D" w14:textId="77777777" w:rsidR="00B66D57" w:rsidRDefault="00D95DFC">
            <w:pPr>
              <w:spacing w:after="0" w:line="240" w:lineRule="auto"/>
              <w:rPr>
                <w:lang w:val="en-US"/>
              </w:rPr>
            </w:pPr>
            <w:r>
              <w:rPr>
                <w:lang w:val="en-US"/>
              </w:rPr>
              <w:t xml:space="preserve">SDO14: Strategic gaps are designed to deter development to avoid coalescence, to protect biodiversity and avoid flood risk land. They should be retained.   </w:t>
            </w:r>
          </w:p>
        </w:tc>
      </w:tr>
      <w:tr w:rsidR="00B66D57" w14:paraId="578F784A" w14:textId="77777777">
        <w:tc>
          <w:tcPr>
            <w:tcW w:w="994" w:type="dxa"/>
          </w:tcPr>
          <w:p w14:paraId="061CC257" w14:textId="77777777" w:rsidR="00B66D57" w:rsidRDefault="00D95DFC">
            <w:pPr>
              <w:spacing w:after="0" w:line="240" w:lineRule="auto"/>
              <w:rPr>
                <w:lang w:val="en-US"/>
              </w:rPr>
            </w:pPr>
            <w:r>
              <w:rPr>
                <w:lang w:val="en-US"/>
              </w:rPr>
              <w:t>5</w:t>
            </w:r>
          </w:p>
        </w:tc>
        <w:tc>
          <w:tcPr>
            <w:tcW w:w="1701" w:type="dxa"/>
          </w:tcPr>
          <w:p w14:paraId="18582CD2" w14:textId="77777777" w:rsidR="00B66D57" w:rsidRDefault="00D95DFC">
            <w:pPr>
              <w:spacing w:after="0" w:line="240" w:lineRule="auto"/>
              <w:rPr>
                <w:lang w:val="en-US"/>
              </w:rPr>
            </w:pPr>
            <w:r>
              <w:rPr>
                <w:lang w:val="en-US"/>
              </w:rPr>
              <w:t>611-619</w:t>
            </w:r>
          </w:p>
        </w:tc>
        <w:tc>
          <w:tcPr>
            <w:tcW w:w="1417" w:type="dxa"/>
          </w:tcPr>
          <w:p w14:paraId="09BC2406" w14:textId="77777777" w:rsidR="00B66D57" w:rsidRDefault="00D95DFC">
            <w:pPr>
              <w:spacing w:after="0" w:line="240" w:lineRule="auto"/>
              <w:rPr>
                <w:lang w:val="en-US"/>
              </w:rPr>
            </w:pPr>
            <w:r>
              <w:rPr>
                <w:lang w:val="en-US"/>
              </w:rPr>
              <w:t>Appx 4</w:t>
            </w:r>
          </w:p>
        </w:tc>
        <w:tc>
          <w:tcPr>
            <w:tcW w:w="1843" w:type="dxa"/>
          </w:tcPr>
          <w:p w14:paraId="11BEA258" w14:textId="77777777" w:rsidR="00B66D57" w:rsidRDefault="00D95DFC">
            <w:pPr>
              <w:spacing w:after="0" w:line="240" w:lineRule="auto"/>
              <w:rPr>
                <w:lang w:val="en-US"/>
              </w:rPr>
            </w:pPr>
            <w:r>
              <w:rPr>
                <w:lang w:val="en-US"/>
              </w:rPr>
              <w:t>Development Strategy Options</w:t>
            </w:r>
          </w:p>
        </w:tc>
        <w:tc>
          <w:tcPr>
            <w:tcW w:w="3067" w:type="dxa"/>
          </w:tcPr>
          <w:p w14:paraId="5966CB3B" w14:textId="77777777" w:rsidR="00B66D57" w:rsidRDefault="00D95DFC">
            <w:pPr>
              <w:spacing w:after="0" w:line="240" w:lineRule="auto"/>
              <w:rPr>
                <w:lang w:val="en-US"/>
              </w:rPr>
            </w:pPr>
            <w:r>
              <w:rPr>
                <w:lang w:val="en-US"/>
              </w:rPr>
              <w:t>Q67 - 69: Rye has no further comments.</w:t>
            </w:r>
          </w:p>
        </w:tc>
      </w:tr>
    </w:tbl>
    <w:p w14:paraId="36069144" w14:textId="77777777" w:rsidR="00B66D57" w:rsidRDefault="00B66D57"/>
    <w:p w14:paraId="34FFA423" w14:textId="77777777" w:rsidR="00B66D57" w:rsidRDefault="00B66D57"/>
    <w:tbl>
      <w:tblPr>
        <w:tblStyle w:val="TableGrid"/>
        <w:tblpPr w:leftFromText="180" w:rightFromText="180" w:vertAnchor="text" w:tblpX="348" w:tblpY="224"/>
        <w:tblOverlap w:val="never"/>
        <w:tblW w:w="0" w:type="auto"/>
        <w:tblLook w:val="04A0" w:firstRow="1" w:lastRow="0" w:firstColumn="1" w:lastColumn="0" w:noHBand="0" w:noVBand="1"/>
      </w:tblPr>
      <w:tblGrid>
        <w:gridCol w:w="1755"/>
        <w:gridCol w:w="2581"/>
        <w:gridCol w:w="4104"/>
      </w:tblGrid>
      <w:tr w:rsidR="00B66D57" w14:paraId="52182F9C" w14:textId="77777777">
        <w:trPr>
          <w:trHeight w:val="31"/>
        </w:trPr>
        <w:tc>
          <w:tcPr>
            <w:tcW w:w="1755" w:type="dxa"/>
          </w:tcPr>
          <w:p w14:paraId="4E48A2AA" w14:textId="77777777" w:rsidR="00B66D57" w:rsidRDefault="00D95DFC">
            <w:pPr>
              <w:rPr>
                <w:b/>
                <w:bCs/>
                <w:lang w:val="en-US"/>
              </w:rPr>
            </w:pPr>
            <w:r>
              <w:rPr>
                <w:b/>
                <w:bCs/>
                <w:lang w:val="en-US"/>
              </w:rPr>
              <w:lastRenderedPageBreak/>
              <w:t xml:space="preserve">Rother Policy Reference </w:t>
            </w:r>
          </w:p>
        </w:tc>
        <w:tc>
          <w:tcPr>
            <w:tcW w:w="2581" w:type="dxa"/>
          </w:tcPr>
          <w:p w14:paraId="53952654" w14:textId="77777777" w:rsidR="00B66D57" w:rsidRDefault="00D95DFC">
            <w:pPr>
              <w:rPr>
                <w:b/>
                <w:bCs/>
                <w:lang w:val="en-US"/>
              </w:rPr>
            </w:pPr>
            <w:r>
              <w:rPr>
                <w:b/>
                <w:bCs/>
                <w:lang w:val="en-US"/>
              </w:rPr>
              <w:t>Rye Reference and Location</w:t>
            </w:r>
          </w:p>
        </w:tc>
        <w:tc>
          <w:tcPr>
            <w:tcW w:w="4104" w:type="dxa"/>
          </w:tcPr>
          <w:p w14:paraId="1BEC44CD" w14:textId="77777777" w:rsidR="00B66D57" w:rsidRDefault="00D95DFC">
            <w:pPr>
              <w:rPr>
                <w:b/>
                <w:bCs/>
                <w:lang w:val="en-US"/>
              </w:rPr>
            </w:pPr>
            <w:r>
              <w:rPr>
                <w:b/>
                <w:bCs/>
                <w:lang w:val="en-US"/>
              </w:rPr>
              <w:t xml:space="preserve">Allocation and Comments </w:t>
            </w:r>
          </w:p>
        </w:tc>
      </w:tr>
      <w:tr w:rsidR="00B66D57" w14:paraId="0410FD35" w14:textId="77777777">
        <w:trPr>
          <w:trHeight w:val="31"/>
        </w:trPr>
        <w:tc>
          <w:tcPr>
            <w:tcW w:w="1755" w:type="dxa"/>
          </w:tcPr>
          <w:p w14:paraId="04E743ED" w14:textId="77777777" w:rsidR="00B66D57" w:rsidRDefault="00D95DFC">
            <w:pPr>
              <w:rPr>
                <w:b/>
                <w:bCs/>
                <w:lang w:val="en-US"/>
              </w:rPr>
            </w:pPr>
            <w:r>
              <w:rPr>
                <w:lang w:val="en-US"/>
              </w:rPr>
              <w:t>RY1</w:t>
            </w:r>
          </w:p>
        </w:tc>
        <w:tc>
          <w:tcPr>
            <w:tcW w:w="2581" w:type="dxa"/>
          </w:tcPr>
          <w:p w14:paraId="37257CD1" w14:textId="77777777" w:rsidR="00B66D57" w:rsidRDefault="00D95DFC">
            <w:pPr>
              <w:rPr>
                <w:lang w:val="en-US"/>
              </w:rPr>
            </w:pPr>
            <w:r>
              <w:rPr>
                <w:lang w:val="en-US"/>
              </w:rPr>
              <w:t xml:space="preserve">H3 - Tilling Green </w:t>
            </w:r>
          </w:p>
        </w:tc>
        <w:tc>
          <w:tcPr>
            <w:tcW w:w="4104" w:type="dxa"/>
          </w:tcPr>
          <w:p w14:paraId="34322DBA" w14:textId="77777777" w:rsidR="00B66D57" w:rsidRDefault="00D95DFC">
            <w:pPr>
              <w:rPr>
                <w:lang w:val="en-US"/>
              </w:rPr>
            </w:pPr>
            <w:r>
              <w:rPr>
                <w:lang w:val="en-US"/>
              </w:rPr>
              <w:t xml:space="preserve">Brownfield: </w:t>
            </w:r>
            <w:proofErr w:type="gramStart"/>
            <w:r>
              <w:rPr>
                <w:lang w:val="en-US"/>
              </w:rPr>
              <w:t>suburban :</w:t>
            </w:r>
            <w:proofErr w:type="gramEnd"/>
            <w:r>
              <w:rPr>
                <w:lang w:val="en-US"/>
              </w:rPr>
              <w:t xml:space="preserve"> 25 </w:t>
            </w:r>
            <w:proofErr w:type="gramStart"/>
            <w:r>
              <w:rPr>
                <w:lang w:val="en-US"/>
              </w:rPr>
              <w:t>dwellings ;</w:t>
            </w:r>
            <w:proofErr w:type="gramEnd"/>
            <w:r>
              <w:rPr>
                <w:lang w:val="en-US"/>
              </w:rPr>
              <w:t xml:space="preserve"> intentionally </w:t>
            </w:r>
            <w:proofErr w:type="gramStart"/>
            <w:r>
              <w:rPr>
                <w:lang w:val="en-US"/>
              </w:rPr>
              <w:t>the majority of</w:t>
            </w:r>
            <w:proofErr w:type="gramEnd"/>
            <w:r>
              <w:rPr>
                <w:lang w:val="en-US"/>
              </w:rPr>
              <w:t xml:space="preserve"> dwellings should be affordable/</w:t>
            </w:r>
            <w:proofErr w:type="gramStart"/>
            <w:r>
              <w:rPr>
                <w:lang w:val="en-US"/>
              </w:rPr>
              <w:t>social</w:t>
            </w:r>
            <w:proofErr w:type="gramEnd"/>
            <w:r>
              <w:rPr>
                <w:lang w:val="en-US"/>
              </w:rPr>
              <w:t xml:space="preserve"> and the community </w:t>
            </w:r>
            <w:proofErr w:type="spellStart"/>
            <w:r>
              <w:rPr>
                <w:lang w:val="en-US"/>
              </w:rPr>
              <w:t>centre</w:t>
            </w:r>
            <w:proofErr w:type="spellEnd"/>
            <w:r>
              <w:rPr>
                <w:lang w:val="en-US"/>
              </w:rPr>
              <w:t xml:space="preserve"> retained.  </w:t>
            </w:r>
          </w:p>
        </w:tc>
      </w:tr>
      <w:tr w:rsidR="00B66D57" w14:paraId="567E7FFF" w14:textId="77777777">
        <w:trPr>
          <w:trHeight w:val="31"/>
        </w:trPr>
        <w:tc>
          <w:tcPr>
            <w:tcW w:w="1755" w:type="dxa"/>
          </w:tcPr>
          <w:p w14:paraId="1ACE9C6B" w14:textId="77777777" w:rsidR="00B66D57" w:rsidRDefault="00D95DFC">
            <w:pPr>
              <w:rPr>
                <w:b/>
                <w:bCs/>
                <w:lang w:val="en-US"/>
              </w:rPr>
            </w:pPr>
            <w:r>
              <w:rPr>
                <w:lang w:val="en-US"/>
              </w:rPr>
              <w:t>RY2</w:t>
            </w:r>
          </w:p>
        </w:tc>
        <w:tc>
          <w:tcPr>
            <w:tcW w:w="2581" w:type="dxa"/>
          </w:tcPr>
          <w:p w14:paraId="03537743" w14:textId="77777777" w:rsidR="00B66D57" w:rsidRDefault="00D95DFC">
            <w:pPr>
              <w:rPr>
                <w:lang w:val="en-US"/>
              </w:rPr>
            </w:pPr>
            <w:r>
              <w:rPr>
                <w:lang w:val="en-US"/>
              </w:rPr>
              <w:t xml:space="preserve">H5- Winchelsea Rd East </w:t>
            </w:r>
          </w:p>
        </w:tc>
        <w:tc>
          <w:tcPr>
            <w:tcW w:w="4104" w:type="dxa"/>
          </w:tcPr>
          <w:p w14:paraId="3412F645" w14:textId="77777777" w:rsidR="00B66D57" w:rsidRDefault="00D95DFC">
            <w:pPr>
              <w:rPr>
                <w:lang w:val="en-US"/>
              </w:rPr>
            </w:pPr>
            <w:r>
              <w:rPr>
                <w:lang w:val="en-US"/>
              </w:rPr>
              <w:t>Brownfield: suburban</w:t>
            </w:r>
            <w:proofErr w:type="gramStart"/>
            <w:r>
              <w:rPr>
                <w:lang w:val="en-US"/>
              </w:rPr>
              <w:t>:  10</w:t>
            </w:r>
            <w:proofErr w:type="gramEnd"/>
            <w:r>
              <w:rPr>
                <w:lang w:val="en-US"/>
              </w:rPr>
              <w:t xml:space="preserve"> dwellings and 500 sq m of employment space; access to flood </w:t>
            </w:r>
            <w:proofErr w:type="spellStart"/>
            <w:r>
              <w:rPr>
                <w:lang w:val="en-US"/>
              </w:rPr>
              <w:t>defences</w:t>
            </w:r>
            <w:proofErr w:type="spellEnd"/>
            <w:r>
              <w:rPr>
                <w:lang w:val="en-US"/>
              </w:rPr>
              <w:t xml:space="preserve"> need to be protected.  </w:t>
            </w:r>
          </w:p>
        </w:tc>
      </w:tr>
      <w:tr w:rsidR="00B66D57" w14:paraId="07A315ED" w14:textId="77777777">
        <w:trPr>
          <w:trHeight w:val="31"/>
        </w:trPr>
        <w:tc>
          <w:tcPr>
            <w:tcW w:w="1755" w:type="dxa"/>
          </w:tcPr>
          <w:p w14:paraId="4E013CB1" w14:textId="77777777" w:rsidR="00B66D57" w:rsidRDefault="00D95DFC">
            <w:pPr>
              <w:rPr>
                <w:lang w:val="en-US"/>
              </w:rPr>
            </w:pPr>
            <w:r>
              <w:rPr>
                <w:lang w:val="en-US"/>
              </w:rPr>
              <w:t>RY3</w:t>
            </w:r>
          </w:p>
        </w:tc>
        <w:tc>
          <w:tcPr>
            <w:tcW w:w="2581" w:type="dxa"/>
          </w:tcPr>
          <w:p w14:paraId="20823116" w14:textId="77777777" w:rsidR="00B66D57" w:rsidRDefault="00D95DFC">
            <w:pPr>
              <w:rPr>
                <w:lang w:val="en-US"/>
              </w:rPr>
            </w:pPr>
            <w:r>
              <w:rPr>
                <w:lang w:val="en-US"/>
              </w:rPr>
              <w:t xml:space="preserve">H6 - Winchelsea Rd West </w:t>
            </w:r>
          </w:p>
        </w:tc>
        <w:tc>
          <w:tcPr>
            <w:tcW w:w="4104" w:type="dxa"/>
          </w:tcPr>
          <w:p w14:paraId="3DA1EA37" w14:textId="77777777" w:rsidR="00B66D57" w:rsidRDefault="00D95DFC">
            <w:pPr>
              <w:rPr>
                <w:lang w:val="en-US"/>
              </w:rPr>
            </w:pPr>
            <w:r>
              <w:rPr>
                <w:lang w:val="en-US"/>
              </w:rPr>
              <w:t xml:space="preserve">Brownfield: suburban: 59 dwellings and 1900 sq m of employment space; </w:t>
            </w:r>
            <w:proofErr w:type="spellStart"/>
            <w:r>
              <w:rPr>
                <w:lang w:val="en-US"/>
              </w:rPr>
              <w:t>SuDS</w:t>
            </w:r>
            <w:proofErr w:type="spellEnd"/>
            <w:r>
              <w:rPr>
                <w:lang w:val="en-US"/>
              </w:rPr>
              <w:t xml:space="preserve"> is a key requirement, in addition to a bund is required to defend against surface water on the marsh; Rother DC has agreed NO affordable?  </w:t>
            </w:r>
          </w:p>
        </w:tc>
      </w:tr>
      <w:tr w:rsidR="00B66D57" w14:paraId="767421F4" w14:textId="77777777">
        <w:trPr>
          <w:trHeight w:val="31"/>
        </w:trPr>
        <w:tc>
          <w:tcPr>
            <w:tcW w:w="1755" w:type="dxa"/>
          </w:tcPr>
          <w:p w14:paraId="168CE5B0" w14:textId="77777777" w:rsidR="00B66D57" w:rsidRDefault="00D95DFC">
            <w:pPr>
              <w:rPr>
                <w:lang w:val="en-US"/>
              </w:rPr>
            </w:pPr>
            <w:r>
              <w:rPr>
                <w:lang w:val="en-US"/>
              </w:rPr>
              <w:t>RY4</w:t>
            </w:r>
          </w:p>
        </w:tc>
        <w:tc>
          <w:tcPr>
            <w:tcW w:w="2581" w:type="dxa"/>
          </w:tcPr>
          <w:p w14:paraId="36545A71" w14:textId="77777777" w:rsidR="00B66D57" w:rsidRDefault="00D95DFC">
            <w:pPr>
              <w:rPr>
                <w:lang w:val="en-US"/>
              </w:rPr>
            </w:pPr>
            <w:r>
              <w:rPr>
                <w:lang w:val="en-US"/>
              </w:rPr>
              <w:t xml:space="preserve">H7 - Former Freda Gardham </w:t>
            </w:r>
          </w:p>
        </w:tc>
        <w:tc>
          <w:tcPr>
            <w:tcW w:w="4104" w:type="dxa"/>
          </w:tcPr>
          <w:p w14:paraId="5D1E8228" w14:textId="77777777" w:rsidR="00B66D57" w:rsidRDefault="00D95DFC">
            <w:pPr>
              <w:rPr>
                <w:lang w:val="en-US"/>
              </w:rPr>
            </w:pPr>
            <w:r>
              <w:rPr>
                <w:lang w:val="en-US"/>
              </w:rPr>
              <w:t xml:space="preserve">Brownfield: suburban: 50 dwellings and 500 sq m of employment space. Developer is seeking variance to the development boundary to include 6 more dwellings.  </w:t>
            </w:r>
            <w:proofErr w:type="spellStart"/>
            <w:r>
              <w:rPr>
                <w:lang w:val="en-US"/>
              </w:rPr>
              <w:t>SuDS</w:t>
            </w:r>
            <w:proofErr w:type="spellEnd"/>
            <w:r>
              <w:rPr>
                <w:lang w:val="en-US"/>
              </w:rPr>
              <w:t xml:space="preserve"> is a key requirement, in addition to a bund is required to defend against surface water on the </w:t>
            </w:r>
            <w:proofErr w:type="gramStart"/>
            <w:r>
              <w:rPr>
                <w:lang w:val="en-US"/>
              </w:rPr>
              <w:t>marsh;</w:t>
            </w:r>
            <w:proofErr w:type="gramEnd"/>
            <w:r>
              <w:rPr>
                <w:lang w:val="en-US"/>
              </w:rPr>
              <w:t xml:space="preserve"> affordable homes? </w:t>
            </w:r>
          </w:p>
        </w:tc>
      </w:tr>
      <w:tr w:rsidR="00B66D57" w14:paraId="2B1757CA" w14:textId="77777777">
        <w:trPr>
          <w:trHeight w:val="31"/>
        </w:trPr>
        <w:tc>
          <w:tcPr>
            <w:tcW w:w="1755" w:type="dxa"/>
          </w:tcPr>
          <w:p w14:paraId="60477D48" w14:textId="77777777" w:rsidR="00B66D57" w:rsidRDefault="00D95DFC">
            <w:pPr>
              <w:rPr>
                <w:lang w:val="en-US"/>
              </w:rPr>
            </w:pPr>
            <w:r>
              <w:rPr>
                <w:lang w:val="en-US"/>
              </w:rPr>
              <w:t>RY5</w:t>
            </w:r>
          </w:p>
        </w:tc>
        <w:tc>
          <w:tcPr>
            <w:tcW w:w="2581" w:type="dxa"/>
          </w:tcPr>
          <w:p w14:paraId="319E25DF" w14:textId="77777777" w:rsidR="00B66D57" w:rsidRDefault="00D95DFC">
            <w:pPr>
              <w:rPr>
                <w:lang w:val="en-US"/>
              </w:rPr>
            </w:pPr>
            <w:r>
              <w:rPr>
                <w:lang w:val="en-US"/>
              </w:rPr>
              <w:t xml:space="preserve">H4 - Rock Channel Site A </w:t>
            </w:r>
          </w:p>
        </w:tc>
        <w:tc>
          <w:tcPr>
            <w:tcW w:w="4104" w:type="dxa"/>
          </w:tcPr>
          <w:p w14:paraId="1B1FB960" w14:textId="77777777" w:rsidR="00B66D57" w:rsidRDefault="00D95DFC">
            <w:pPr>
              <w:rPr>
                <w:lang w:val="en-US"/>
              </w:rPr>
            </w:pPr>
            <w:r>
              <w:rPr>
                <w:lang w:val="en-US"/>
              </w:rPr>
              <w:t xml:space="preserve">Brownfield: suburban: 80 dwellings across two sites with different ownership; </w:t>
            </w:r>
            <w:proofErr w:type="spellStart"/>
            <w:r>
              <w:rPr>
                <w:lang w:val="en-US"/>
              </w:rPr>
              <w:t>SuDS</w:t>
            </w:r>
            <w:proofErr w:type="spellEnd"/>
            <w:r>
              <w:rPr>
                <w:lang w:val="en-US"/>
              </w:rPr>
              <w:t xml:space="preserve"> is a key requirement; access to the A259 via St Margaret’s Terrace </w:t>
            </w:r>
            <w:proofErr w:type="gramStart"/>
            <w:r>
              <w:rPr>
                <w:lang w:val="en-US"/>
              </w:rPr>
              <w:t>has to</w:t>
            </w:r>
            <w:proofErr w:type="gramEnd"/>
            <w:r>
              <w:rPr>
                <w:lang w:val="en-US"/>
              </w:rPr>
              <w:t xml:space="preserve"> be resolved.  </w:t>
            </w:r>
          </w:p>
        </w:tc>
      </w:tr>
      <w:tr w:rsidR="00B66D57" w14:paraId="60BE31CB" w14:textId="77777777">
        <w:trPr>
          <w:trHeight w:val="31"/>
        </w:trPr>
        <w:tc>
          <w:tcPr>
            <w:tcW w:w="1755" w:type="dxa"/>
          </w:tcPr>
          <w:p w14:paraId="398FB7E6" w14:textId="77777777" w:rsidR="00B66D57" w:rsidRDefault="00B66D57">
            <w:pPr>
              <w:rPr>
                <w:b/>
                <w:bCs/>
                <w:lang w:val="en-US"/>
              </w:rPr>
            </w:pPr>
          </w:p>
        </w:tc>
        <w:tc>
          <w:tcPr>
            <w:tcW w:w="2581" w:type="dxa"/>
          </w:tcPr>
          <w:p w14:paraId="598ED263" w14:textId="77777777" w:rsidR="00B66D57" w:rsidRDefault="00D95DFC">
            <w:pPr>
              <w:rPr>
                <w:lang w:val="en-US"/>
              </w:rPr>
            </w:pPr>
            <w:r>
              <w:rPr>
                <w:lang w:val="en-US"/>
              </w:rPr>
              <w:t xml:space="preserve">No Ref - Cyprus Place Depot </w:t>
            </w:r>
          </w:p>
        </w:tc>
        <w:tc>
          <w:tcPr>
            <w:tcW w:w="4104" w:type="dxa"/>
          </w:tcPr>
          <w:p w14:paraId="572A0604" w14:textId="77777777" w:rsidR="00B66D57" w:rsidRDefault="00D95DFC">
            <w:pPr>
              <w:rPr>
                <w:lang w:val="en-US"/>
              </w:rPr>
            </w:pPr>
            <w:proofErr w:type="gramStart"/>
            <w:r>
              <w:rPr>
                <w:lang w:val="en-US"/>
              </w:rPr>
              <w:t>Brownfield :</w:t>
            </w:r>
            <w:proofErr w:type="gramEnd"/>
            <w:r>
              <w:rPr>
                <w:lang w:val="en-US"/>
              </w:rPr>
              <w:t xml:space="preserve"> urban: 7 dwellings</w:t>
            </w:r>
          </w:p>
          <w:p w14:paraId="0235B06F" w14:textId="77777777" w:rsidR="00B66D57" w:rsidRDefault="00D95DFC">
            <w:pPr>
              <w:rPr>
                <w:lang w:val="en-US"/>
              </w:rPr>
            </w:pPr>
            <w:r>
              <w:rPr>
                <w:lang w:val="en-US"/>
              </w:rPr>
              <w:t xml:space="preserve">Leased to a business, which Rye TC has agreed is of community value. </w:t>
            </w:r>
          </w:p>
        </w:tc>
      </w:tr>
      <w:tr w:rsidR="00B66D57" w14:paraId="569402D8" w14:textId="77777777">
        <w:trPr>
          <w:trHeight w:val="31"/>
        </w:trPr>
        <w:tc>
          <w:tcPr>
            <w:tcW w:w="1755" w:type="dxa"/>
          </w:tcPr>
          <w:p w14:paraId="7B891DAC" w14:textId="77777777" w:rsidR="00B66D57" w:rsidRDefault="00D95DFC">
            <w:pPr>
              <w:rPr>
                <w:lang w:val="en-US"/>
              </w:rPr>
            </w:pPr>
            <w:r>
              <w:rPr>
                <w:lang w:val="en-US"/>
              </w:rPr>
              <w:lastRenderedPageBreak/>
              <w:t>RY7</w:t>
            </w:r>
          </w:p>
        </w:tc>
        <w:tc>
          <w:tcPr>
            <w:tcW w:w="2581" w:type="dxa"/>
          </w:tcPr>
          <w:p w14:paraId="56445A07" w14:textId="77777777" w:rsidR="00B66D57" w:rsidRDefault="00D95DFC">
            <w:pPr>
              <w:rPr>
                <w:lang w:val="en-US"/>
              </w:rPr>
            </w:pPr>
            <w:r>
              <w:rPr>
                <w:lang w:val="en-US"/>
              </w:rPr>
              <w:t xml:space="preserve">H4 - Rock Channel Site D </w:t>
            </w:r>
          </w:p>
        </w:tc>
        <w:tc>
          <w:tcPr>
            <w:tcW w:w="4104" w:type="dxa"/>
          </w:tcPr>
          <w:p w14:paraId="173E92D7" w14:textId="77777777" w:rsidR="00B66D57" w:rsidRDefault="00D95DFC">
            <w:pPr>
              <w:rPr>
                <w:lang w:val="en-US"/>
              </w:rPr>
            </w:pPr>
            <w:r>
              <w:rPr>
                <w:lang w:val="en-US"/>
              </w:rPr>
              <w:t xml:space="preserve">Brownfield: suburban: 600 sq m of employment space; only partially flood protected at high tides; ground floors need to be </w:t>
            </w:r>
            <w:proofErr w:type="spellStart"/>
            <w:r>
              <w:rPr>
                <w:lang w:val="en-US"/>
              </w:rPr>
              <w:t>sacrifical</w:t>
            </w:r>
            <w:proofErr w:type="spellEnd"/>
            <w:r>
              <w:rPr>
                <w:lang w:val="en-US"/>
              </w:rPr>
              <w:t xml:space="preserve">. Environment Agency part owns this site.  </w:t>
            </w:r>
          </w:p>
        </w:tc>
      </w:tr>
      <w:tr w:rsidR="00B66D57" w14:paraId="6143A8BA" w14:textId="77777777">
        <w:trPr>
          <w:trHeight w:val="31"/>
        </w:trPr>
        <w:tc>
          <w:tcPr>
            <w:tcW w:w="1755" w:type="dxa"/>
          </w:tcPr>
          <w:p w14:paraId="073DEFEA" w14:textId="77777777" w:rsidR="00B66D57" w:rsidRDefault="00D95DFC">
            <w:pPr>
              <w:rPr>
                <w:lang w:val="en-US"/>
              </w:rPr>
            </w:pPr>
            <w:r>
              <w:rPr>
                <w:lang w:val="en-US"/>
              </w:rPr>
              <w:t>RY8</w:t>
            </w:r>
          </w:p>
        </w:tc>
        <w:tc>
          <w:tcPr>
            <w:tcW w:w="2581" w:type="dxa"/>
          </w:tcPr>
          <w:p w14:paraId="6E299682" w14:textId="77777777" w:rsidR="00B66D57" w:rsidRDefault="00D95DFC">
            <w:pPr>
              <w:rPr>
                <w:lang w:val="en-US"/>
              </w:rPr>
            </w:pPr>
            <w:r>
              <w:rPr>
                <w:lang w:val="en-US"/>
              </w:rPr>
              <w:t>No Ref - 17-19 Tower St</w:t>
            </w:r>
          </w:p>
        </w:tc>
        <w:tc>
          <w:tcPr>
            <w:tcW w:w="4104" w:type="dxa"/>
          </w:tcPr>
          <w:p w14:paraId="4C7FE366" w14:textId="77777777" w:rsidR="00B66D57" w:rsidRDefault="00D95DFC">
            <w:pPr>
              <w:rPr>
                <w:lang w:val="en-US"/>
              </w:rPr>
            </w:pPr>
            <w:proofErr w:type="gramStart"/>
            <w:r>
              <w:rPr>
                <w:lang w:val="en-US"/>
              </w:rPr>
              <w:t>Brownfield :</w:t>
            </w:r>
            <w:proofErr w:type="gramEnd"/>
            <w:r>
              <w:rPr>
                <w:lang w:val="en-US"/>
              </w:rPr>
              <w:t xml:space="preserve"> urban: 6 dwellings </w:t>
            </w:r>
          </w:p>
        </w:tc>
      </w:tr>
      <w:tr w:rsidR="00B66D57" w14:paraId="39F9C360" w14:textId="77777777">
        <w:trPr>
          <w:trHeight w:val="31"/>
        </w:trPr>
        <w:tc>
          <w:tcPr>
            <w:tcW w:w="1755" w:type="dxa"/>
          </w:tcPr>
          <w:p w14:paraId="7BACDE41" w14:textId="77777777" w:rsidR="00B66D57" w:rsidRDefault="00D95DFC">
            <w:pPr>
              <w:rPr>
                <w:lang w:val="en-US"/>
              </w:rPr>
            </w:pPr>
            <w:r>
              <w:rPr>
                <w:lang w:val="en-US"/>
              </w:rPr>
              <w:t>RY9</w:t>
            </w:r>
          </w:p>
        </w:tc>
        <w:tc>
          <w:tcPr>
            <w:tcW w:w="2581" w:type="dxa"/>
          </w:tcPr>
          <w:p w14:paraId="31D75907" w14:textId="77777777" w:rsidR="00B66D57" w:rsidRDefault="00D95DFC">
            <w:pPr>
              <w:rPr>
                <w:b/>
                <w:bCs/>
                <w:lang w:val="en-US"/>
              </w:rPr>
            </w:pPr>
            <w:r>
              <w:rPr>
                <w:lang w:val="en-US"/>
              </w:rPr>
              <w:t xml:space="preserve">H8 - Lower School Site </w:t>
            </w:r>
          </w:p>
        </w:tc>
        <w:tc>
          <w:tcPr>
            <w:tcW w:w="4104" w:type="dxa"/>
          </w:tcPr>
          <w:p w14:paraId="2D7F2D4C" w14:textId="77777777" w:rsidR="00B66D57" w:rsidRDefault="00D95DFC">
            <w:pPr>
              <w:rPr>
                <w:lang w:val="en-US"/>
              </w:rPr>
            </w:pPr>
            <w:proofErr w:type="gramStart"/>
            <w:r>
              <w:rPr>
                <w:lang w:val="en-US"/>
              </w:rPr>
              <w:t>Brownfield :</w:t>
            </w:r>
            <w:proofErr w:type="gramEnd"/>
            <w:r>
              <w:rPr>
                <w:lang w:val="en-US"/>
              </w:rPr>
              <w:t xml:space="preserve"> suburban: 88 dwellings </w:t>
            </w:r>
          </w:p>
          <w:p w14:paraId="02F98897" w14:textId="77777777" w:rsidR="00B66D57" w:rsidRDefault="00D95DFC">
            <w:pPr>
              <w:rPr>
                <w:lang w:val="en-US"/>
              </w:rPr>
            </w:pPr>
            <w:r>
              <w:rPr>
                <w:lang w:val="en-US"/>
              </w:rPr>
              <w:t xml:space="preserve">Considered over development at 130 dwellings per hectare. No affordable, </w:t>
            </w:r>
          </w:p>
        </w:tc>
      </w:tr>
    </w:tbl>
    <w:p w14:paraId="3DC90E66" w14:textId="77777777" w:rsidR="00B66D57" w:rsidRDefault="00B66D57"/>
    <w:p w14:paraId="653A2556" w14:textId="77777777" w:rsidR="00B66D57" w:rsidRDefault="00D95DFC">
      <w:pPr>
        <w:rPr>
          <w:lang w:val="en-US"/>
        </w:rPr>
      </w:pPr>
      <w:r>
        <w:rPr>
          <w:lang w:val="en-US"/>
        </w:rPr>
        <w:t>Note</w:t>
      </w:r>
      <w:proofErr w:type="gramStart"/>
      <w:r>
        <w:rPr>
          <w:lang w:val="en-US"/>
        </w:rPr>
        <w:t>:  Suburban:  areas</w:t>
      </w:r>
      <w:proofErr w:type="gramEnd"/>
      <w:r>
        <w:rPr>
          <w:lang w:val="en-US"/>
        </w:rPr>
        <w:t xml:space="preserve"> beyond the inner boundaries of the Town of Rye. </w:t>
      </w:r>
    </w:p>
    <w:p w14:paraId="02B73C9F" w14:textId="77777777" w:rsidR="00B66D57" w:rsidRDefault="00B66D57">
      <w:pPr>
        <w:rPr>
          <w:lang w:val="en-US"/>
        </w:rPr>
      </w:pPr>
    </w:p>
    <w:p w14:paraId="4A9D5436" w14:textId="77777777" w:rsidR="00B66D57" w:rsidRDefault="00B66D57">
      <w:pPr>
        <w:rPr>
          <w:lang w:val="en-US"/>
        </w:rPr>
      </w:pPr>
    </w:p>
    <w:p w14:paraId="10B47B28" w14:textId="77777777" w:rsidR="00B66D57" w:rsidRDefault="00D95DFC">
      <w:pPr>
        <w:rPr>
          <w:lang w:val="en-US"/>
        </w:rPr>
      </w:pPr>
      <w:r>
        <w:rPr>
          <w:lang w:val="en-US"/>
        </w:rPr>
        <w:t>Anthony Kimber MBE PhD</w:t>
      </w:r>
    </w:p>
    <w:p w14:paraId="76E56859" w14:textId="77777777" w:rsidR="00B66D57" w:rsidRDefault="00D95DFC">
      <w:pPr>
        <w:rPr>
          <w:lang w:val="en-US"/>
        </w:rPr>
      </w:pPr>
      <w:r>
        <w:rPr>
          <w:lang w:val="en-US"/>
        </w:rPr>
        <w:t xml:space="preserve">Rye NP </w:t>
      </w:r>
    </w:p>
    <w:p w14:paraId="59E10EB9" w14:textId="77777777" w:rsidR="00B66D57" w:rsidRDefault="00D95DFC">
      <w:pPr>
        <w:rPr>
          <w:lang w:val="en-US"/>
        </w:rPr>
      </w:pPr>
      <w:r>
        <w:rPr>
          <w:lang w:val="en-US"/>
        </w:rPr>
        <w:t xml:space="preserve">3 Feb 26 </w:t>
      </w:r>
    </w:p>
    <w:p w14:paraId="29FEBABB" w14:textId="77777777" w:rsidR="00B66D57" w:rsidRDefault="00B66D57"/>
    <w:p w14:paraId="2C4E6483" w14:textId="77777777" w:rsidR="00B66D57" w:rsidRDefault="00B66D57"/>
    <w:p w14:paraId="5672C17E" w14:textId="77777777" w:rsidR="00B66D57" w:rsidRDefault="00B66D57"/>
    <w:sectPr w:rsidR="00B66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59C9" w14:textId="77777777" w:rsidR="00831261" w:rsidRDefault="00831261">
      <w:pPr>
        <w:spacing w:line="240" w:lineRule="auto"/>
      </w:pPr>
      <w:r>
        <w:separator/>
      </w:r>
    </w:p>
  </w:endnote>
  <w:endnote w:type="continuationSeparator" w:id="0">
    <w:p w14:paraId="7BCDED1F" w14:textId="77777777" w:rsidR="00831261" w:rsidRDefault="00831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苹方-简"/>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C072" w14:textId="77777777" w:rsidR="00831261" w:rsidRDefault="00831261">
      <w:pPr>
        <w:spacing w:after="0"/>
      </w:pPr>
      <w:r>
        <w:separator/>
      </w:r>
    </w:p>
  </w:footnote>
  <w:footnote w:type="continuationSeparator" w:id="0">
    <w:p w14:paraId="16B50763" w14:textId="77777777" w:rsidR="00831261" w:rsidRDefault="008312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3CF80"/>
    <w:multiLevelType w:val="singleLevel"/>
    <w:tmpl w:val="FFA3CF80"/>
    <w:lvl w:ilvl="0">
      <w:start w:val="1"/>
      <w:numFmt w:val="decimal"/>
      <w:suff w:val="space"/>
      <w:lvlText w:val="%1."/>
      <w:lvlJc w:val="left"/>
    </w:lvl>
  </w:abstractNum>
  <w:num w:numId="1" w16cid:durableId="171110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1A"/>
    <w:rsid w:val="00101F82"/>
    <w:rsid w:val="002B2DB5"/>
    <w:rsid w:val="0039584B"/>
    <w:rsid w:val="00441BED"/>
    <w:rsid w:val="004B4B32"/>
    <w:rsid w:val="00506580"/>
    <w:rsid w:val="005E5698"/>
    <w:rsid w:val="0063045B"/>
    <w:rsid w:val="00802791"/>
    <w:rsid w:val="00831261"/>
    <w:rsid w:val="008326C1"/>
    <w:rsid w:val="008A431A"/>
    <w:rsid w:val="008A4D37"/>
    <w:rsid w:val="00B66D57"/>
    <w:rsid w:val="00BF7382"/>
    <w:rsid w:val="00D81565"/>
    <w:rsid w:val="00D86311"/>
    <w:rsid w:val="00D95DFC"/>
    <w:rsid w:val="00EC41B8"/>
    <w:rsid w:val="00F51BED"/>
    <w:rsid w:val="6CBFDFC2"/>
    <w:rsid w:val="7EEE0E13"/>
    <w:rsid w:val="7FDD04D2"/>
    <w:rsid w:val="A78731B6"/>
    <w:rsid w:val="B7FA3A78"/>
    <w:rsid w:val="BE7F99F5"/>
    <w:rsid w:val="E67B31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4E49"/>
  <w15:docId w15:val="{C2D93A50-38B3-4E5E-9BAB-E3181058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1377</Words>
  <Characters>7852</Characters>
  <Application>Microsoft Office Word</Application>
  <DocSecurity>4</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Kimber</dc:creator>
  <cp:lastModifiedBy>Tim Searle</cp:lastModifiedBy>
  <cp:revision>2</cp:revision>
  <cp:lastPrinted>2026-01-30T22:52:00Z</cp:lastPrinted>
  <dcterms:created xsi:type="dcterms:W3CDTF">2026-02-20T13:22:00Z</dcterms:created>
  <dcterms:modified xsi:type="dcterms:W3CDTF">2026-02-20T13:22:00Z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1033-12.1.22553.22553</vt:lpwstr>
  </property>
  <property fmtid="{D5CDD505-2E9C-101B-9397-08002B2CF9AE}" pid="3" name="ICV">
    <vt:lpwstr>E3E862C31929258697448A69676045CD_43</vt:lpwstr>
  </property>
</Properties>
</file>